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0"/>
        <w:jc w:val="center"/>
      </w:pPr>
      <w:r>
        <w:rPr>
          <w:rFonts w:ascii="Calibri" w:hAnsi="Calibri"/>
          <w:b/>
          <w:color w:val="1F3864"/>
          <w:sz w:val="52"/>
        </w:rPr>
        <w:t>ORDER MANAGEMENT PROCESS OPTIMIZATION</w:t>
      </w:r>
    </w:p>
    <w:p>
      <w:pPr>
        <w:jc w:val="center"/>
      </w:pPr>
      <w:r>
        <w:rPr>
          <w:rFonts w:ascii="Calibri" w:hAnsi="Calibri"/>
          <w:i/>
          <w:color w:val="2E75B6"/>
          <w:sz w:val="32"/>
        </w:rPr>
        <w:t>Operations Consulting Case Study</w:t>
      </w:r>
    </w:p>
    <w:p>
      <w:pPr>
        <w:spacing w:before="80" w:after="80"/>
        <w:pBdr>
          <w:bottom w:val="single" w:sz="6" w:space="1" w:color="2E75B6"/>
        </w:pBdr>
      </w:pPr>
    </w:p>
    <w:p>
      <w:pPr>
        <w:spacing w:before="160"/>
        <w:jc w:val="center"/>
      </w:pPr>
      <w:r>
        <w:rPr>
          <w:rFonts w:ascii="Calibri" w:hAnsi="Calibri"/>
          <w:b/>
          <w:color w:val="ED7D31"/>
          <w:sz w:val="24"/>
        </w:rPr>
        <w:t>FMCG Distribution Company  |  Process Redesign &amp; Automation</w:t>
      </w:r>
    </w:p>
    <w:p/>
    <w:tbl>
      <w:tblPr>
        <w:tblW w:type="auto" w:w="0"/>
        <w:jc w:val="center"/>
        <w:tblLook w:firstColumn="1" w:firstRow="1" w:lastColumn="0" w:lastRow="0" w:noHBand="0" w:noVBand="1" w:val="04A0"/>
      </w:tblPr>
      <w:tblGrid>
        <w:gridCol w:w="2351"/>
        <w:gridCol w:w="2351"/>
        <w:gridCol w:w="2351"/>
        <w:gridCol w:w="2351"/>
      </w:tblGrid>
      <w:tr>
        <w:tc>
          <w:tcPr>
            <w:tcW w:type="dxa" w:w="2351"/>
            <w:shd w:val="clear" w:color="auto" w:fill="1F3864"/>
          </w:tcPr>
          <w:p>
            <w:pPr>
              <w:jc w:val="center"/>
            </w:pPr>
            <w:r>
              <w:rPr>
                <w:rFonts w:ascii="Calibri" w:hAnsi="Calibri"/>
                <w:b/>
                <w:color w:val="FFFFFF"/>
                <w:sz w:val="18"/>
              </w:rPr>
              <w:t>Lead Time Reduction</w:t>
            </w:r>
          </w:p>
        </w:tc>
        <w:tc>
          <w:tcPr>
            <w:tcW w:type="dxa" w:w="2351"/>
            <w:shd w:val="clear" w:color="auto" w:fill="C00000"/>
          </w:tcPr>
          <w:p>
            <w:pPr>
              <w:jc w:val="center"/>
            </w:pPr>
            <w:r>
              <w:rPr>
                <w:rFonts w:ascii="Calibri" w:hAnsi="Calibri"/>
                <w:b/>
                <w:color w:val="FFFFFF"/>
                <w:sz w:val="18"/>
              </w:rPr>
              <w:t>Error Rate Reduction</w:t>
            </w:r>
          </w:p>
        </w:tc>
        <w:tc>
          <w:tcPr>
            <w:tcW w:type="dxa" w:w="2351"/>
            <w:shd w:val="clear" w:color="auto" w:fill="375623"/>
          </w:tcPr>
          <w:p>
            <w:pPr>
              <w:jc w:val="center"/>
            </w:pPr>
            <w:r>
              <w:rPr>
                <w:rFonts w:ascii="Calibri" w:hAnsi="Calibri"/>
                <w:b/>
                <w:color w:val="FFFFFF"/>
                <w:sz w:val="18"/>
              </w:rPr>
              <w:t>Capacity Increase</w:t>
            </w:r>
          </w:p>
        </w:tc>
        <w:tc>
          <w:tcPr>
            <w:tcW w:type="dxa" w:w="2351"/>
            <w:shd w:val="clear" w:color="auto" w:fill="7F6000"/>
          </w:tcPr>
          <w:p>
            <w:pPr>
              <w:jc w:val="center"/>
            </w:pPr>
            <w:r>
              <w:rPr>
                <w:rFonts w:ascii="Calibri" w:hAnsi="Calibri"/>
                <w:b/>
                <w:color w:val="FFFFFF"/>
                <w:sz w:val="18"/>
              </w:rPr>
              <w:t>Projected ROI</w:t>
            </w:r>
          </w:p>
        </w:tc>
      </w:tr>
      <w:tr>
        <w:tc>
          <w:tcPr>
            <w:tcW w:type="dxa" w:w="2351"/>
            <w:shd w:val="clear" w:color="auto" w:fill="EBF3FB"/>
          </w:tcPr>
          <w:p>
            <w:pPr>
              <w:jc w:val="center"/>
            </w:pPr>
            <w:r>
              <w:rPr>
                <w:rFonts w:ascii="Calibri" w:hAnsi="Calibri"/>
                <w:b/>
                <w:color w:val="1F3864"/>
                <w:sz w:val="40"/>
              </w:rPr>
              <w:t>82%</w:t>
            </w:r>
          </w:p>
        </w:tc>
        <w:tc>
          <w:tcPr>
            <w:tcW w:type="dxa" w:w="2351"/>
            <w:shd w:val="clear" w:color="auto" w:fill="EBF3FB"/>
          </w:tcPr>
          <w:p>
            <w:pPr>
              <w:jc w:val="center"/>
            </w:pPr>
            <w:r>
              <w:rPr>
                <w:rFonts w:ascii="Calibri" w:hAnsi="Calibri"/>
                <w:b/>
                <w:color w:val="1F3864"/>
                <w:sz w:val="40"/>
              </w:rPr>
              <w:t>91%</w:t>
            </w:r>
          </w:p>
        </w:tc>
        <w:tc>
          <w:tcPr>
            <w:tcW w:type="dxa" w:w="2351"/>
            <w:shd w:val="clear" w:color="auto" w:fill="EBF3FB"/>
          </w:tcPr>
          <w:p>
            <w:pPr>
              <w:jc w:val="center"/>
            </w:pPr>
            <w:r>
              <w:rPr>
                <w:rFonts w:ascii="Calibri" w:hAnsi="Calibri"/>
                <w:b/>
                <w:color w:val="1F3864"/>
                <w:sz w:val="40"/>
              </w:rPr>
              <w:t>40%</w:t>
            </w:r>
          </w:p>
        </w:tc>
        <w:tc>
          <w:tcPr>
            <w:tcW w:type="dxa" w:w="2351"/>
            <w:shd w:val="clear" w:color="auto" w:fill="EBF3FB"/>
          </w:tcPr>
          <w:p>
            <w:pPr>
              <w:jc w:val="center"/>
            </w:pPr>
            <w:r>
              <w:rPr>
                <w:rFonts w:ascii="Calibri" w:hAnsi="Calibri"/>
                <w:b/>
                <w:color w:val="1F3864"/>
                <w:sz w:val="40"/>
              </w:rPr>
              <w:t>3.2x</w:t>
            </w:r>
          </w:p>
        </w:tc>
      </w:tr>
    </w:tbl>
    <w:p/>
    <w:p>
      <w:pPr>
        <w:jc w:val="center"/>
      </w:pPr>
      <w:r>
        <w:rPr>
          <w:rFonts w:ascii="Calibri" w:hAnsi="Calibri"/>
          <w:color w:val="595959"/>
          <w:sz w:val="19"/>
        </w:rPr>
        <w:t>Prepared by: Senior Operations Management Consultant</w:t>
        <w:br/>
      </w:r>
      <w:r>
        <w:rPr>
          <w:rFonts w:ascii="Calibri" w:hAnsi="Calibri"/>
          <w:color w:val="595959"/>
          <w:sz w:val="19"/>
        </w:rPr>
        <w:t>Industry: Fast-Moving Consumer Goods (FMCG) Distribution</w:t>
        <w:br/>
      </w:r>
      <w:r>
        <w:rPr>
          <w:rFonts w:ascii="Calibri" w:hAnsi="Calibri"/>
          <w:color w:val="595959"/>
          <w:sz w:val="19"/>
        </w:rPr>
        <w:t>Scope: Order-to-Cash Process Optimization</w:t>
        <w:br/>
      </w:r>
      <w:r>
        <w:rPr>
          <w:rFonts w:ascii="Calibri" w:hAnsi="Calibri"/>
          <w:color w:val="595959"/>
          <w:sz w:val="19"/>
        </w:rPr>
        <w:t>Prepared: March 2025  |  Version 1.0  |  CONFIDENTIAL</w:t>
        <w:br/>
      </w:r>
    </w:p>
    <w:p>
      <w:r>
        <w:br w:type="page"/>
      </w:r>
    </w:p>
    <w:p>
      <w:pPr>
        <w:spacing w:before="80" w:after="80"/>
        <w:jc w:val="left"/>
      </w:pPr>
      <w:r>
        <w:rPr>
          <w:rFonts w:ascii="Calibri" w:hAnsi="Calibri"/>
          <w:b/>
          <w:color w:val="1F3864"/>
          <w:sz w:val="32"/>
        </w:rPr>
        <w:t>TABLE OF CONTENTS</w:t>
      </w:r>
    </w:p>
    <w:p>
      <w:pPr>
        <w:spacing w:before="80" w:after="80"/>
        <w:pBdr>
          <w:bottom w:val="single" w:sz="6" w:space="1" w:color="2E75B6"/>
        </w:pBdr>
      </w:pPr>
    </w:p>
    <w:p>
      <w:pPr>
        <w:spacing w:before="60" w:after="60"/>
      </w:pPr>
      <w:r>
        <w:rPr>
          <w:rFonts w:ascii="Calibri" w:hAnsi="Calibri"/>
          <w:b/>
          <w:color w:val="1F3864"/>
          <w:sz w:val="21"/>
        </w:rPr>
        <w:t xml:space="preserve">  1.  Project Overview</w:t>
      </w:r>
    </w:p>
    <w:p>
      <w:pPr>
        <w:spacing w:before="60" w:after="60"/>
      </w:pPr>
      <w:r>
        <w:rPr>
          <w:rFonts w:ascii="Calibri" w:hAnsi="Calibri"/>
          <w:b/>
          <w:color w:val="1F3864"/>
          <w:sz w:val="21"/>
        </w:rPr>
        <w:t xml:space="preserve">  2.  Business Context</w:t>
      </w:r>
    </w:p>
    <w:p>
      <w:pPr>
        <w:spacing w:before="60" w:after="60"/>
      </w:pPr>
      <w:r>
        <w:rPr>
          <w:rFonts w:ascii="Calibri" w:hAnsi="Calibri"/>
          <w:b/>
          <w:color w:val="1F3864"/>
          <w:sz w:val="21"/>
        </w:rPr>
        <w:t xml:space="preserve">  3.  Current Process Analysis</w:t>
      </w:r>
    </w:p>
    <w:p>
      <w:pPr>
        <w:spacing w:before="60" w:after="60"/>
      </w:pPr>
      <w:r>
        <w:rPr>
          <w:rFonts w:ascii="Calibri" w:hAnsi="Calibri"/>
          <w:b/>
          <w:color w:val="1F3864"/>
          <w:sz w:val="21"/>
        </w:rPr>
        <w:t xml:space="preserve">  4.  Identified Inefficiencies</w:t>
      </w:r>
    </w:p>
    <w:p>
      <w:pPr>
        <w:spacing w:before="60" w:after="60"/>
      </w:pPr>
      <w:r>
        <w:rPr>
          <w:rFonts w:ascii="Calibri" w:hAnsi="Calibri"/>
          <w:b/>
          <w:color w:val="1F3864"/>
          <w:sz w:val="21"/>
        </w:rPr>
        <w:t xml:space="preserve">  5.  Process Redesign</w:t>
      </w:r>
    </w:p>
    <w:p>
      <w:pPr>
        <w:spacing w:before="60" w:after="60"/>
      </w:pPr>
      <w:r>
        <w:rPr>
          <w:rFonts w:ascii="Calibri" w:hAnsi="Calibri"/>
          <w:b/>
          <w:color w:val="1F3864"/>
          <w:sz w:val="21"/>
        </w:rPr>
        <w:t xml:space="preserve">  6.  Automation Opportunities</w:t>
      </w:r>
    </w:p>
    <w:p>
      <w:pPr>
        <w:spacing w:before="60" w:after="60"/>
      </w:pPr>
      <w:r>
        <w:rPr>
          <w:rFonts w:ascii="Calibri" w:hAnsi="Calibri"/>
          <w:b/>
          <w:color w:val="1F3864"/>
          <w:sz w:val="21"/>
        </w:rPr>
        <w:t xml:space="preserve">  7.  Quantified Impact</w:t>
      </w:r>
    </w:p>
    <w:p>
      <w:pPr>
        <w:spacing w:before="60" w:after="60"/>
      </w:pPr>
      <w:r>
        <w:rPr>
          <w:rFonts w:ascii="Calibri" w:hAnsi="Calibri"/>
          <w:b/>
          <w:color w:val="1F3864"/>
          <w:sz w:val="21"/>
        </w:rPr>
        <w:t xml:space="preserve">  8.  Implementation Roadmap</w:t>
      </w:r>
    </w:p>
    <w:p>
      <w:pPr>
        <w:spacing w:before="60" w:after="60"/>
      </w:pPr>
      <w:r>
        <w:rPr>
          <w:rFonts w:ascii="Calibri" w:hAnsi="Calibri"/>
          <w:b w:val="0"/>
          <w:color w:val="595959"/>
          <w:sz w:val="21"/>
        </w:rPr>
        <w:t xml:space="preserve">    Appendix: Dataset Summary &amp; Methodology</w:t>
      </w:r>
    </w:p>
    <w:p>
      <w:r>
        <w:br w:type="page"/>
      </w:r>
    </w:p>
    <w:p>
      <w:pPr>
        <w:spacing w:before="240" w:after="80"/>
        <w:jc w:val="left"/>
      </w:pPr>
      <w:r>
        <w:rPr>
          <w:rFonts w:ascii="Calibri" w:hAnsi="Calibri"/>
          <w:b/>
          <w:color w:val="1F3864"/>
          <w:sz w:val="36"/>
        </w:rPr>
        <w:t>1.  PROJECT OVERVIEW</w:t>
      </w:r>
    </w:p>
    <w:p>
      <w:pPr>
        <w:spacing w:before="80" w:after="80"/>
        <w:pBdr>
          <w:bottom w:val="single" w:sz="6" w:space="1" w:color="2E75B6"/>
        </w:pBdr>
      </w:pPr>
    </w:p>
    <w:p>
      <w:pPr>
        <w:spacing w:before="60" w:after="60" w:line="360" w:lineRule="auto"/>
        <w:jc w:val="both"/>
      </w:pPr>
      <w:r>
        <w:rPr>
          <w:rFonts w:ascii="Calibri" w:hAnsi="Calibri"/>
          <w:b w:val="0"/>
          <w:i w:val="0"/>
          <w:color w:val="595959"/>
          <w:sz w:val="21"/>
        </w:rPr>
        <w:t>This case study documents a comprehensive process optimization engagement conducted for a mid-size FMCG distribution company experiencing significant operational inefficiencies in its order management function. The organization handles 50–80 wholesale customer orders per day through a fully manual, email-based workflow, resulting in excessive processing times, high error rates, and preventable revenue loss.</w:t>
      </w:r>
    </w:p>
    <w:p>
      <w:pPr>
        <w:spacing w:before="60" w:after="60" w:line="360" w:lineRule="auto"/>
        <w:jc w:val="both"/>
      </w:pPr>
      <w:r>
        <w:rPr>
          <w:rFonts w:ascii="Calibri" w:hAnsi="Calibri"/>
          <w:b w:val="0"/>
          <w:i w:val="0"/>
          <w:color w:val="595959"/>
          <w:sz w:val="21"/>
        </w:rPr>
        <w:t>The engagement followed a structured consulting methodology: process mapping and data collection, root-cause analysis, redesign of the target process, automation opportunity identification, business case development, and implementation roadmap definition. The project team analyzed a dataset of 520 historical orders across a 12-month period to establish baseline performance benchmarks and quantify improvement opportunities.</w:t>
      </w:r>
    </w:p>
    <w:p>
      <w:pPr>
        <w:spacing w:before="160" w:after="60"/>
      </w:pPr>
      <w:r>
        <w:rPr>
          <w:rFonts w:ascii="Calibri" w:hAnsi="Calibri"/>
          <w:b/>
          <w:color w:val="2E75B6"/>
          <w:sz w:val="26"/>
        </w:rPr>
        <w:t>Engagement Objectives</w:t>
      </w:r>
    </w:p>
    <w:p>
      <w:pPr>
        <w:pStyle w:val="ListBullet"/>
        <w:spacing w:before="40" w:after="40"/>
        <w:ind w:left="432"/>
      </w:pPr>
      <w:r>
        <w:rPr>
          <w:rFonts w:ascii="Calibri" w:hAnsi="Calibri"/>
          <w:color w:val="595959"/>
          <w:sz w:val="21"/>
        </w:rPr>
        <w:t>Map and document the current order-to-delivery process in full detail</w:t>
      </w:r>
    </w:p>
    <w:p>
      <w:pPr>
        <w:pStyle w:val="ListBullet"/>
        <w:spacing w:before="40" w:after="40"/>
        <w:ind w:left="432"/>
      </w:pPr>
      <w:r>
        <w:rPr>
          <w:rFonts w:ascii="Calibri" w:hAnsi="Calibri"/>
          <w:color w:val="595959"/>
          <w:sz w:val="21"/>
        </w:rPr>
        <w:t>Quantify operational inefficiencies with data-backed metrics and KPIs</w:t>
      </w:r>
    </w:p>
    <w:p>
      <w:pPr>
        <w:pStyle w:val="ListBullet"/>
        <w:spacing w:before="40" w:after="40"/>
        <w:ind w:left="432"/>
      </w:pPr>
      <w:r>
        <w:rPr>
          <w:rFonts w:ascii="Calibri" w:hAnsi="Calibri"/>
          <w:color w:val="595959"/>
          <w:sz w:val="21"/>
        </w:rPr>
        <w:t>Redesign the process to eliminate manual steps and reduce error exposure</w:t>
      </w:r>
    </w:p>
    <w:p>
      <w:pPr>
        <w:pStyle w:val="ListBullet"/>
        <w:spacing w:before="40" w:after="40"/>
        <w:ind w:left="432"/>
      </w:pPr>
      <w:r>
        <w:rPr>
          <w:rFonts w:ascii="Calibri" w:hAnsi="Calibri"/>
          <w:color w:val="595959"/>
          <w:sz w:val="21"/>
        </w:rPr>
        <w:t>Identify automation technologies appropriate for the organization's maturity level</w:t>
      </w:r>
    </w:p>
    <w:p>
      <w:pPr>
        <w:pStyle w:val="ListBullet"/>
        <w:spacing w:before="40" w:after="40"/>
        <w:ind w:left="432"/>
      </w:pPr>
      <w:r>
        <w:rPr>
          <w:rFonts w:ascii="Calibri" w:hAnsi="Calibri"/>
          <w:color w:val="595959"/>
          <w:sz w:val="21"/>
        </w:rPr>
        <w:t>Build a quantified business case with ROI and payback period projections</w:t>
      </w:r>
    </w:p>
    <w:p>
      <w:pPr>
        <w:pStyle w:val="ListBullet"/>
        <w:spacing w:before="40" w:after="40"/>
        <w:ind w:left="432"/>
      </w:pPr>
      <w:r>
        <w:rPr>
          <w:rFonts w:ascii="Calibri" w:hAnsi="Calibri"/>
          <w:color w:val="595959"/>
          <w:sz w:val="21"/>
        </w:rPr>
        <w:t>Deliver a phased implementation roadmap with clear milestones and ownership</w:t>
      </w:r>
    </w:p>
    <w:p>
      <w:pPr>
        <w:spacing w:before="160" w:after="60"/>
      </w:pPr>
      <w:r>
        <w:rPr>
          <w:rFonts w:ascii="Calibri" w:hAnsi="Calibri"/>
          <w:b/>
          <w:color w:val="2E75B6"/>
          <w:sz w:val="26"/>
        </w:rPr>
        <w:t>Scope</w:t>
      </w:r>
    </w:p>
    <w:p>
      <w:pPr>
        <w:pStyle w:val="ListBullet"/>
        <w:spacing w:before="40" w:after="40"/>
        <w:ind w:left="432"/>
      </w:pPr>
      <w:r>
        <w:rPr>
          <w:rFonts w:ascii="Calibri" w:hAnsi="Calibri"/>
          <w:color w:val="595959"/>
          <w:sz w:val="21"/>
        </w:rPr>
        <w:t>In scope: Order receipt → Stock check → Order confirmation → Invoicing → Dispatch coordination</w:t>
      </w:r>
    </w:p>
    <w:p>
      <w:pPr>
        <w:pStyle w:val="ListBullet"/>
        <w:spacing w:before="40" w:after="40"/>
        <w:ind w:left="432"/>
      </w:pPr>
      <w:r>
        <w:rPr>
          <w:rFonts w:ascii="Calibri" w:hAnsi="Calibri"/>
          <w:color w:val="595959"/>
          <w:sz w:val="21"/>
        </w:rPr>
        <w:t>Out of scope: Logistics/last-mile execution, supplier procurement, financial reporting</w:t>
      </w:r>
    </w:p>
    <w:p>
      <w:pPr>
        <w:pStyle w:val="ListBullet"/>
        <w:spacing w:before="40" w:after="40"/>
        <w:ind w:left="432"/>
      </w:pPr>
      <w:r>
        <w:rPr>
          <w:rFonts w:ascii="Calibri" w:hAnsi="Calibri"/>
          <w:color w:val="595959"/>
          <w:sz w:val="21"/>
        </w:rPr>
        <w:t>Geography: National distribution operations (10 major cities)</w:t>
      </w:r>
    </w:p>
    <w:p>
      <w:pPr>
        <w:pStyle w:val="ListBullet"/>
        <w:spacing w:before="40" w:after="40"/>
        <w:ind w:left="432"/>
      </w:pPr>
      <w:r>
        <w:rPr>
          <w:rFonts w:ascii="Calibri" w:hAnsi="Calibri"/>
          <w:color w:val="595959"/>
          <w:sz w:val="21"/>
        </w:rPr>
        <w:t>Volume: 50–80 orders/day, ~1,300–2,000 orders/month</w:t>
      </w:r>
    </w:p>
    <w:p>
      <w:r>
        <w:br w:type="page"/>
      </w:r>
    </w:p>
    <w:p>
      <w:pPr>
        <w:spacing w:before="240" w:after="80"/>
        <w:jc w:val="left"/>
      </w:pPr>
      <w:r>
        <w:rPr>
          <w:rFonts w:ascii="Calibri" w:hAnsi="Calibri"/>
          <w:b/>
          <w:color w:val="1F3864"/>
          <w:sz w:val="36"/>
        </w:rPr>
        <w:t>2.  BUSINESS CONTEXT</w:t>
      </w:r>
    </w:p>
    <w:p>
      <w:pPr>
        <w:spacing w:before="80" w:after="80"/>
        <w:pBdr>
          <w:bottom w:val="single" w:sz="6" w:space="1" w:color="2E75B6"/>
        </w:pBdr>
      </w:pPr>
    </w:p>
    <w:p>
      <w:pPr>
        <w:spacing w:before="160" w:after="60"/>
      </w:pPr>
      <w:r>
        <w:rPr>
          <w:rFonts w:ascii="Calibri" w:hAnsi="Calibri"/>
          <w:b/>
          <w:color w:val="2E75B6"/>
          <w:sz w:val="26"/>
        </w:rPr>
        <w:t>Company Profile</w:t>
      </w:r>
    </w:p>
    <w:p>
      <w:pPr>
        <w:spacing w:before="60" w:after="60" w:line="360" w:lineRule="auto"/>
        <w:jc w:val="both"/>
      </w:pPr>
      <w:r>
        <w:rPr>
          <w:rFonts w:ascii="Calibri" w:hAnsi="Calibri"/>
          <w:b w:val="0"/>
          <w:i w:val="0"/>
          <w:color w:val="595959"/>
          <w:sz w:val="21"/>
        </w:rPr>
        <w:t>The client is a wholesale FMCG distributor operating across 10 cities, serving approximately 200 active wholesale accounts including supermarkets, convenience chains, and institutional buyers. The company distributes a portfolio of 400+ SKUs across food, beverage, personal care, and home care categories. Annual revenues are in the range of $8–12M USD, with order management handled by a team of 4 administrative staff.</w:t>
      </w:r>
    </w:p>
    <w:p>
      <w:pPr>
        <w:spacing w:before="160" w:after="60"/>
      </w:pPr>
      <w:r>
        <w:rPr>
          <w:rFonts w:ascii="Calibri" w:hAnsi="Calibri"/>
          <w:b/>
          <w:color w:val="2E75B6"/>
          <w:sz w:val="26"/>
        </w:rPr>
        <w:t>Market &amp; Competitive Context</w:t>
      </w:r>
    </w:p>
    <w:p>
      <w:pPr>
        <w:spacing w:before="60" w:after="60" w:line="360" w:lineRule="auto"/>
        <w:jc w:val="both"/>
      </w:pPr>
      <w:r>
        <w:rPr>
          <w:rFonts w:ascii="Calibri" w:hAnsi="Calibri"/>
          <w:b w:val="0"/>
          <w:i w:val="0"/>
          <w:color w:val="595959"/>
          <w:sz w:val="21"/>
        </w:rPr>
        <w:t>The FMCG distribution sector is increasingly competitive, with customers demanding faster order confirmation, real-time stock visibility, and digital invoice delivery. Competitors who have invested in digital order management platforms are capturing market share by offering same-day confirmation and next-day delivery guarantees. The client's current manual workflow creates a structural competitive disadvantage that is directly impacting customer satisfaction scores and order retention rates.</w:t>
      </w:r>
    </w:p>
    <w:p>
      <w:pPr>
        <w:spacing w:before="160" w:after="60"/>
      </w:pPr>
      <w:r>
        <w:rPr>
          <w:rFonts w:ascii="Calibri" w:hAnsi="Calibri"/>
          <w:b/>
          <w:color w:val="2E75B6"/>
          <w:sz w:val="26"/>
        </w:rPr>
        <w:t>Strategic Drivers for Change</w:t>
      </w:r>
    </w:p>
    <w:p>
      <w:pPr>
        <w:pStyle w:val="ListBullet"/>
        <w:spacing w:before="40" w:after="40"/>
        <w:ind w:left="432"/>
      </w:pPr>
      <w:r>
        <w:rPr>
          <w:rFonts w:ascii="Calibri" w:hAnsi="Calibri"/>
          <w:color w:val="595959"/>
          <w:sz w:val="21"/>
        </w:rPr>
        <w:t>Customer churn risk: 3 major accounts threatened to switch suppliers due to slow response times</w:t>
      </w:r>
    </w:p>
    <w:p>
      <w:pPr>
        <w:pStyle w:val="ListBullet"/>
        <w:spacing w:before="40" w:after="40"/>
        <w:ind w:left="432"/>
      </w:pPr>
      <w:r>
        <w:rPr>
          <w:rFonts w:ascii="Calibri" w:hAnsi="Calibri"/>
          <w:color w:val="595959"/>
          <w:sz w:val="21"/>
        </w:rPr>
        <w:t>Operational capacity constraint: Staff are at 95% utilization; volume growth is unsustainable</w:t>
      </w:r>
    </w:p>
    <w:p>
      <w:pPr>
        <w:pStyle w:val="ListBullet"/>
        <w:spacing w:before="40" w:after="40"/>
        <w:ind w:left="432"/>
      </w:pPr>
      <w:r>
        <w:rPr>
          <w:rFonts w:ascii="Calibri" w:hAnsi="Calibri"/>
          <w:color w:val="595959"/>
          <w:sz w:val="21"/>
        </w:rPr>
        <w:t>Data quality issues: Management lacks reliable operational KPIs due to fragmented Excel tracking</w:t>
      </w:r>
    </w:p>
    <w:p>
      <w:pPr>
        <w:pStyle w:val="ListBullet"/>
        <w:spacing w:before="40" w:after="40"/>
        <w:ind w:left="432"/>
      </w:pPr>
      <w:r>
        <w:rPr>
          <w:rFonts w:ascii="Calibri" w:hAnsi="Calibri"/>
          <w:color w:val="595959"/>
          <w:sz w:val="21"/>
        </w:rPr>
        <w:t>Regulatory compliance: Increasing requirements for digital invoicing and audit trail documentation</w:t>
      </w:r>
    </w:p>
    <w:p>
      <w:pPr>
        <w:pStyle w:val="ListBullet"/>
        <w:spacing w:before="40" w:after="40"/>
        <w:ind w:left="432"/>
      </w:pPr>
      <w:r>
        <w:rPr>
          <w:rFonts w:ascii="Calibri" w:hAnsi="Calibri"/>
          <w:color w:val="595959"/>
          <w:sz w:val="21"/>
        </w:rPr>
        <w:t>Growth ambitions: Management targets 30% volume growth in the next 24 months</w:t>
      </w:r>
    </w:p>
    <w:p>
      <w:pPr>
        <w:spacing w:before="160" w:after="60"/>
      </w:pPr>
      <w:r>
        <w:rPr>
          <w:rFonts w:ascii="Calibri" w:hAnsi="Calibri"/>
          <w:b/>
          <w:color w:val="2E75B6"/>
          <w:sz w:val="26"/>
        </w:rPr>
        <w:t>Current Technology Landscape</w:t>
      </w:r>
    </w:p>
    <w:tbl>
      <w:tblPr>
        <w:tblStyle w:val="TableGrid"/>
        <w:tblW w:type="auto" w:w="0"/>
        <w:jc w:val="center"/>
        <w:tblLook w:firstColumn="1" w:firstRow="1" w:lastColumn="0" w:lastRow="0" w:noHBand="0" w:noVBand="1" w:val="04A0"/>
      </w:tblPr>
      <w:tblGrid>
        <w:gridCol w:w="2160"/>
        <w:gridCol w:w="2592"/>
        <w:gridCol w:w="3888"/>
      </w:tblGrid>
      <w:tr>
        <w:tc>
          <w:tcPr>
            <w:tcW w:type="dxa" w:w="3135"/>
            <w:shd w:val="clear" w:color="auto" w:fill="1F3864"/>
          </w:tcPr>
          <w:p>
            <w:pPr>
              <w:jc w:val="center"/>
            </w:pPr>
            <w:r>
              <w:rPr>
                <w:rFonts w:ascii="Calibri" w:hAnsi="Calibri"/>
                <w:b/>
                <w:color w:val="FFFFFF"/>
                <w:sz w:val="20"/>
              </w:rPr>
              <w:t>Function</w:t>
            </w:r>
          </w:p>
        </w:tc>
        <w:tc>
          <w:tcPr>
            <w:tcW w:type="dxa" w:w="3135"/>
            <w:shd w:val="clear" w:color="auto" w:fill="1F3864"/>
          </w:tcPr>
          <w:p>
            <w:pPr>
              <w:jc w:val="center"/>
            </w:pPr>
            <w:r>
              <w:rPr>
                <w:rFonts w:ascii="Calibri" w:hAnsi="Calibri"/>
                <w:b/>
                <w:color w:val="FFFFFF"/>
                <w:sz w:val="20"/>
              </w:rPr>
              <w:t>Current Tool</w:t>
            </w:r>
          </w:p>
        </w:tc>
        <w:tc>
          <w:tcPr>
            <w:tcW w:type="dxa" w:w="3135"/>
            <w:shd w:val="clear" w:color="auto" w:fill="1F3864"/>
          </w:tcPr>
          <w:p>
            <w:pPr>
              <w:jc w:val="center"/>
            </w:pPr>
            <w:r>
              <w:rPr>
                <w:rFonts w:ascii="Calibri" w:hAnsi="Calibri"/>
                <w:b/>
                <w:color w:val="FFFFFF"/>
                <w:sz w:val="20"/>
              </w:rPr>
              <w:t>Key Gap</w:t>
            </w:r>
          </w:p>
        </w:tc>
      </w:tr>
      <w:tr>
        <w:tc>
          <w:tcPr>
            <w:tcW w:type="dxa" w:w="3135"/>
            <w:shd w:val="clear" w:color="auto" w:fill="EBF3FB"/>
          </w:tcPr>
          <w:p>
            <w:r>
              <w:rPr>
                <w:rFonts w:ascii="Calibri" w:hAnsi="Calibri"/>
                <w:color w:val="1F3864"/>
                <w:sz w:val="19"/>
              </w:rPr>
              <w:t>Order Capture</w:t>
            </w:r>
          </w:p>
        </w:tc>
        <w:tc>
          <w:tcPr>
            <w:tcW w:type="dxa" w:w="3135"/>
            <w:shd w:val="clear" w:color="auto" w:fill="EBF3FB"/>
          </w:tcPr>
          <w:p>
            <w:r>
              <w:rPr>
                <w:rFonts w:ascii="Calibri" w:hAnsi="Calibri"/>
                <w:color w:val="595959"/>
                <w:sz w:val="19"/>
              </w:rPr>
              <w:t>Email / WhatsApp / Phone</w:t>
            </w:r>
          </w:p>
        </w:tc>
        <w:tc>
          <w:tcPr>
            <w:tcW w:type="dxa" w:w="3135"/>
            <w:shd w:val="clear" w:color="auto" w:fill="EBF3FB"/>
          </w:tcPr>
          <w:p>
            <w:r>
              <w:rPr>
                <w:rFonts w:ascii="Calibri" w:hAnsi="Calibri"/>
                <w:color w:val="C00000"/>
                <w:sz w:val="19"/>
              </w:rPr>
              <w:t>No digital intake form</w:t>
            </w:r>
          </w:p>
        </w:tc>
      </w:tr>
      <w:tr>
        <w:tc>
          <w:tcPr>
            <w:tcW w:type="dxa" w:w="3135"/>
            <w:shd w:val="clear" w:color="auto" w:fill="FFFFFF"/>
          </w:tcPr>
          <w:p>
            <w:r>
              <w:rPr>
                <w:rFonts w:ascii="Calibri" w:hAnsi="Calibri"/>
                <w:color w:val="1F3864"/>
                <w:sz w:val="19"/>
              </w:rPr>
              <w:t>Order Tracking</w:t>
            </w:r>
          </w:p>
        </w:tc>
        <w:tc>
          <w:tcPr>
            <w:tcW w:type="dxa" w:w="3135"/>
            <w:shd w:val="clear" w:color="auto" w:fill="FFFFFF"/>
          </w:tcPr>
          <w:p>
            <w:r>
              <w:rPr>
                <w:rFonts w:ascii="Calibri" w:hAnsi="Calibri"/>
                <w:color w:val="595959"/>
                <w:sz w:val="19"/>
              </w:rPr>
              <w:t>Excel spreadsheets (shared)</w:t>
            </w:r>
          </w:p>
        </w:tc>
        <w:tc>
          <w:tcPr>
            <w:tcW w:type="dxa" w:w="3135"/>
            <w:shd w:val="clear" w:color="auto" w:fill="FFFFFF"/>
          </w:tcPr>
          <w:p>
            <w:r>
              <w:rPr>
                <w:rFonts w:ascii="Calibri" w:hAnsi="Calibri"/>
                <w:color w:val="C00000"/>
                <w:sz w:val="19"/>
              </w:rPr>
              <w:t>No real-time sync</w:t>
            </w:r>
          </w:p>
        </w:tc>
      </w:tr>
      <w:tr>
        <w:tc>
          <w:tcPr>
            <w:tcW w:type="dxa" w:w="3135"/>
            <w:shd w:val="clear" w:color="auto" w:fill="EBF3FB"/>
          </w:tcPr>
          <w:p>
            <w:r>
              <w:rPr>
                <w:rFonts w:ascii="Calibri" w:hAnsi="Calibri"/>
                <w:color w:val="1F3864"/>
                <w:sz w:val="19"/>
              </w:rPr>
              <w:t>Inventory System</w:t>
            </w:r>
          </w:p>
        </w:tc>
        <w:tc>
          <w:tcPr>
            <w:tcW w:type="dxa" w:w="3135"/>
            <w:shd w:val="clear" w:color="auto" w:fill="EBF3FB"/>
          </w:tcPr>
          <w:p>
            <w:r>
              <w:rPr>
                <w:rFonts w:ascii="Calibri" w:hAnsi="Calibri"/>
                <w:color w:val="595959"/>
                <w:sz w:val="19"/>
              </w:rPr>
              <w:t>Basic accounting software</w:t>
            </w:r>
          </w:p>
        </w:tc>
        <w:tc>
          <w:tcPr>
            <w:tcW w:type="dxa" w:w="3135"/>
            <w:shd w:val="clear" w:color="auto" w:fill="EBF3FB"/>
          </w:tcPr>
          <w:p>
            <w:r>
              <w:rPr>
                <w:rFonts w:ascii="Calibri" w:hAnsi="Calibri"/>
                <w:color w:val="C00000"/>
                <w:sz w:val="19"/>
              </w:rPr>
              <w:t>No API / no real-time</w:t>
            </w:r>
          </w:p>
        </w:tc>
      </w:tr>
      <w:tr>
        <w:tc>
          <w:tcPr>
            <w:tcW w:type="dxa" w:w="3135"/>
            <w:shd w:val="clear" w:color="auto" w:fill="FFFFFF"/>
          </w:tcPr>
          <w:p>
            <w:r>
              <w:rPr>
                <w:rFonts w:ascii="Calibri" w:hAnsi="Calibri"/>
                <w:color w:val="1F3864"/>
                <w:sz w:val="19"/>
              </w:rPr>
              <w:t>Invoicing</w:t>
            </w:r>
          </w:p>
        </w:tc>
        <w:tc>
          <w:tcPr>
            <w:tcW w:type="dxa" w:w="3135"/>
            <w:shd w:val="clear" w:color="auto" w:fill="FFFFFF"/>
          </w:tcPr>
          <w:p>
            <w:r>
              <w:rPr>
                <w:rFonts w:ascii="Calibri" w:hAnsi="Calibri"/>
                <w:color w:val="595959"/>
                <w:sz w:val="19"/>
              </w:rPr>
              <w:t>Manual in accounting system</w:t>
            </w:r>
          </w:p>
        </w:tc>
        <w:tc>
          <w:tcPr>
            <w:tcW w:type="dxa" w:w="3135"/>
            <w:shd w:val="clear" w:color="auto" w:fill="FFFFFF"/>
          </w:tcPr>
          <w:p>
            <w:r>
              <w:rPr>
                <w:rFonts w:ascii="Calibri" w:hAnsi="Calibri"/>
                <w:color w:val="C00000"/>
                <w:sz w:val="19"/>
              </w:rPr>
              <w:t>Re-keying of data</w:t>
            </w:r>
          </w:p>
        </w:tc>
      </w:tr>
      <w:tr>
        <w:tc>
          <w:tcPr>
            <w:tcW w:type="dxa" w:w="3135"/>
            <w:shd w:val="clear" w:color="auto" w:fill="EBF3FB"/>
          </w:tcPr>
          <w:p>
            <w:r>
              <w:rPr>
                <w:rFonts w:ascii="Calibri" w:hAnsi="Calibri"/>
                <w:color w:val="1F3864"/>
                <w:sz w:val="19"/>
              </w:rPr>
              <w:t>Reporting</w:t>
            </w:r>
          </w:p>
        </w:tc>
        <w:tc>
          <w:tcPr>
            <w:tcW w:type="dxa" w:w="3135"/>
            <w:shd w:val="clear" w:color="auto" w:fill="EBF3FB"/>
          </w:tcPr>
          <w:p>
            <w:r>
              <w:rPr>
                <w:rFonts w:ascii="Calibri" w:hAnsi="Calibri"/>
                <w:color w:val="595959"/>
                <w:sz w:val="19"/>
              </w:rPr>
              <w:t>Ad-hoc Excel pivot tables</w:t>
            </w:r>
          </w:p>
        </w:tc>
        <w:tc>
          <w:tcPr>
            <w:tcW w:type="dxa" w:w="3135"/>
            <w:shd w:val="clear" w:color="auto" w:fill="EBF3FB"/>
          </w:tcPr>
          <w:p>
            <w:r>
              <w:rPr>
                <w:rFonts w:ascii="Calibri" w:hAnsi="Calibri"/>
                <w:color w:val="C00000"/>
                <w:sz w:val="19"/>
              </w:rPr>
              <w:t>No automated dashboards</w:t>
            </w:r>
          </w:p>
        </w:tc>
      </w:tr>
      <w:tr>
        <w:tc>
          <w:tcPr>
            <w:tcW w:type="dxa" w:w="3135"/>
            <w:shd w:val="clear" w:color="auto" w:fill="FFFFFF"/>
          </w:tcPr>
          <w:p>
            <w:r>
              <w:rPr>
                <w:rFonts w:ascii="Calibri" w:hAnsi="Calibri"/>
                <w:color w:val="1F3864"/>
                <w:sz w:val="19"/>
              </w:rPr>
              <w:t>CRM</w:t>
            </w:r>
          </w:p>
        </w:tc>
        <w:tc>
          <w:tcPr>
            <w:tcW w:type="dxa" w:w="3135"/>
            <w:shd w:val="clear" w:color="auto" w:fill="FFFFFF"/>
          </w:tcPr>
          <w:p>
            <w:r>
              <w:rPr>
                <w:rFonts w:ascii="Calibri" w:hAnsi="Calibri"/>
                <w:color w:val="595959"/>
                <w:sz w:val="19"/>
              </w:rPr>
              <w:t>None</w:t>
            </w:r>
          </w:p>
        </w:tc>
        <w:tc>
          <w:tcPr>
            <w:tcW w:type="dxa" w:w="3135"/>
            <w:shd w:val="clear" w:color="auto" w:fill="FFFFFF"/>
          </w:tcPr>
          <w:p>
            <w:r>
              <w:rPr>
                <w:rFonts w:ascii="Calibri" w:hAnsi="Calibri"/>
                <w:color w:val="C00000"/>
                <w:sz w:val="19"/>
              </w:rPr>
              <w:t>No customer history</w:t>
            </w:r>
          </w:p>
        </w:tc>
      </w:tr>
    </w:tbl>
    <w:p>
      <w:r>
        <w:br w:type="page"/>
      </w:r>
    </w:p>
    <w:p>
      <w:pPr>
        <w:spacing w:before="240" w:after="80"/>
        <w:jc w:val="left"/>
      </w:pPr>
      <w:r>
        <w:rPr>
          <w:rFonts w:ascii="Calibri" w:hAnsi="Calibri"/>
          <w:b/>
          <w:color w:val="1F3864"/>
          <w:sz w:val="36"/>
        </w:rPr>
        <w:t>3.  CURRENT PROCESS ANALYSIS</w:t>
      </w:r>
    </w:p>
    <w:p>
      <w:pPr>
        <w:spacing w:before="80" w:after="80"/>
        <w:pBdr>
          <w:bottom w:val="single" w:sz="6" w:space="1" w:color="2E75B6"/>
        </w:pBdr>
      </w:pPr>
    </w:p>
    <w:p>
      <w:pPr>
        <w:spacing w:before="160" w:after="60"/>
      </w:pPr>
      <w:r>
        <w:rPr>
          <w:rFonts w:ascii="Calibri" w:hAnsi="Calibri"/>
          <w:b/>
          <w:color w:val="2E75B6"/>
          <w:sz w:val="26"/>
        </w:rPr>
        <w:t>Process Steps — As-Is Description</w:t>
      </w:r>
    </w:p>
    <w:p>
      <w:pPr>
        <w:spacing w:before="120"/>
      </w:pPr>
      <w:r>
        <w:rPr>
          <w:rFonts w:ascii="Calibri" w:hAnsi="Calibri"/>
          <w:b/>
          <w:color w:val="1F3864"/>
          <w:sz w:val="22"/>
        </w:rPr>
        <w:t xml:space="preserve">Step 1: Order Receipt  —  </w:t>
      </w:r>
      <w:r>
        <w:rPr>
          <w:rFonts w:ascii="Calibri" w:hAnsi="Calibri"/>
          <w:color w:val="595959"/>
          <w:sz w:val="20"/>
        </w:rPr>
        <w:t>Customers send orders via email (60%), WhatsApp (20%), phone (15%), or web portal (5%). Email and phone orders require manual reading and transcription by the administrative assistant. There is no standardized order format, so messages vary significantly in structure and completeness.</w:t>
      </w:r>
    </w:p>
    <w:p>
      <w:pPr>
        <w:spacing w:before="120"/>
      </w:pPr>
      <w:r>
        <w:rPr>
          <w:rFonts w:ascii="Calibri" w:hAnsi="Calibri"/>
          <w:b/>
          <w:color w:val="1F3864"/>
          <w:sz w:val="22"/>
        </w:rPr>
        <w:t xml:space="preserve">Step 2: Manual Data Entry  —  </w:t>
      </w:r>
      <w:r>
        <w:rPr>
          <w:rFonts w:ascii="Calibri" w:hAnsi="Calibri"/>
          <w:color w:val="595959"/>
          <w:sz w:val="20"/>
        </w:rPr>
        <w:t>The assistant manually transcribes order details into a shared Excel workbook. This step is highly error-prone: product codes are misread, quantities are incorrectly transcribed, and customer names are entered inconsistently. Average data entry time is 45 minutes per order during peak periods, with a measured error rate of 33% across all orders.</w:t>
      </w:r>
    </w:p>
    <w:p>
      <w:pPr>
        <w:spacing w:before="120"/>
      </w:pPr>
      <w:r>
        <w:rPr>
          <w:rFonts w:ascii="Calibri" w:hAnsi="Calibri"/>
          <w:b/>
          <w:color w:val="1F3864"/>
          <w:sz w:val="22"/>
        </w:rPr>
        <w:t xml:space="preserve">Step 3: Manual Stock Check  —  </w:t>
      </w:r>
      <w:r>
        <w:rPr>
          <w:rFonts w:ascii="Calibri" w:hAnsi="Calibri"/>
          <w:color w:val="595959"/>
          <w:sz w:val="20"/>
        </w:rPr>
        <w:t>Staff must contact the warehouse by phone or physically check inventory records to verify product availability. There is no real-time inventory system. Stock-outs are discovered only after the order has been confirmed, causing re-negotiations and customer dissatisfaction. Average stock check duration: 18 minutes.</w:t>
      </w:r>
    </w:p>
    <w:p>
      <w:pPr>
        <w:spacing w:before="120"/>
      </w:pPr>
      <w:r>
        <w:rPr>
          <w:rFonts w:ascii="Calibri" w:hAnsi="Calibri"/>
          <w:b/>
          <w:color w:val="1F3864"/>
          <w:sz w:val="22"/>
        </w:rPr>
        <w:t xml:space="preserve">Step 4: Order Confirmation  —  </w:t>
      </w:r>
      <w:r>
        <w:rPr>
          <w:rFonts w:ascii="Calibri" w:hAnsi="Calibri"/>
          <w:color w:val="595959"/>
          <w:sz w:val="20"/>
        </w:rPr>
        <w:t>Once stock is confirmed, the assistant sends a manual email reply to the customer. If errors were detected or stock was unavailable, this step requires additional back-and-forth communication, adding 15–45 minutes of delay. No automated confirmation mechanism exists.</w:t>
      </w:r>
    </w:p>
    <w:p>
      <w:pPr>
        <w:spacing w:before="120"/>
      </w:pPr>
      <w:r>
        <w:rPr>
          <w:rFonts w:ascii="Calibri" w:hAnsi="Calibri"/>
          <w:b/>
          <w:color w:val="1F3864"/>
          <w:sz w:val="22"/>
        </w:rPr>
        <w:t xml:space="preserve">Step 5: Invoice Generation  —  </w:t>
      </w:r>
      <w:r>
        <w:rPr>
          <w:rFonts w:ascii="Calibri" w:hAnsi="Calibri"/>
          <w:color w:val="595959"/>
          <w:sz w:val="20"/>
        </w:rPr>
        <w:t>Invoices are manually created in the accounting software by re-entering data already typed in Excel. This duplication of effort introduces additional transcription errors and consumes approximately 12 minutes per order. Invoice numbering errors occur in ~8% of cases.</w:t>
      </w:r>
    </w:p>
    <w:p>
      <w:pPr>
        <w:spacing w:before="120"/>
      </w:pPr>
      <w:r>
        <w:rPr>
          <w:rFonts w:ascii="Calibri" w:hAnsi="Calibri"/>
          <w:b/>
          <w:color w:val="1F3864"/>
          <w:sz w:val="22"/>
        </w:rPr>
        <w:t xml:space="preserve">Step 6: Dispatch Preparation  —  </w:t>
      </w:r>
      <w:r>
        <w:rPr>
          <w:rFonts w:ascii="Calibri" w:hAnsi="Calibri"/>
          <w:color w:val="595959"/>
          <w:sz w:val="20"/>
        </w:rPr>
        <w:t>The dispatch team receives a printed or emailed order summary and manually prepares the pick-and-pack list. No integration exists between the order system and the warehouse. Average dispatch preparation time: 25 minutes; extended to 45–65 minutes for error orders.</w:t>
      </w:r>
    </w:p>
    <w:p>
      <w:pPr>
        <w:spacing w:before="160" w:after="60"/>
      </w:pPr>
      <w:r>
        <w:rPr>
          <w:rFonts w:ascii="Calibri" w:hAnsi="Calibri"/>
          <w:b/>
          <w:color w:val="2E75B6"/>
          <w:sz w:val="26"/>
        </w:rPr>
        <w:t>Baseline KPI Metrics  (12-Month Dataset — 520 Orders)</w:t>
      </w:r>
    </w:p>
    <w:tbl>
      <w:tblPr>
        <w:tblStyle w:val="TableGrid"/>
        <w:tblW w:type="auto" w:w="0"/>
        <w:jc w:val="center"/>
        <w:tblLook w:firstColumn="1" w:firstRow="1" w:lastColumn="0" w:lastRow="0" w:noHBand="0" w:noVBand="1" w:val="04A0"/>
      </w:tblPr>
      <w:tblGrid>
        <w:gridCol w:w="3744"/>
        <w:gridCol w:w="2016"/>
        <w:gridCol w:w="4320"/>
      </w:tblGrid>
      <w:tr>
        <w:tc>
          <w:tcPr>
            <w:tcW w:type="dxa" w:w="3135"/>
            <w:shd w:val="clear" w:color="auto" w:fill="1F3864"/>
          </w:tcPr>
          <w:p>
            <w:pPr>
              <w:jc w:val="center"/>
            </w:pPr>
            <w:r>
              <w:rPr>
                <w:rFonts w:ascii="Calibri" w:hAnsi="Calibri"/>
                <w:b/>
                <w:color w:val="FFFFFF"/>
                <w:sz w:val="20"/>
              </w:rPr>
              <w:t>Metric</w:t>
            </w:r>
          </w:p>
        </w:tc>
        <w:tc>
          <w:tcPr>
            <w:tcW w:type="dxa" w:w="3135"/>
            <w:shd w:val="clear" w:color="auto" w:fill="1F3864"/>
          </w:tcPr>
          <w:p>
            <w:pPr>
              <w:jc w:val="center"/>
            </w:pPr>
            <w:r>
              <w:rPr>
                <w:rFonts w:ascii="Calibri" w:hAnsi="Calibri"/>
                <w:b/>
                <w:color w:val="FFFFFF"/>
                <w:sz w:val="20"/>
              </w:rPr>
              <w:t>Value</w:t>
            </w:r>
          </w:p>
        </w:tc>
        <w:tc>
          <w:tcPr>
            <w:tcW w:type="dxa" w:w="3135"/>
            <w:shd w:val="clear" w:color="auto" w:fill="1F3864"/>
          </w:tcPr>
          <w:p>
            <w:pPr>
              <w:jc w:val="center"/>
            </w:pPr>
            <w:r>
              <w:rPr>
                <w:rFonts w:ascii="Calibri" w:hAnsi="Calibri"/>
                <w:b/>
                <w:color w:val="FFFFFF"/>
                <w:sz w:val="20"/>
              </w:rPr>
              <w:t>Note</w:t>
            </w:r>
          </w:p>
        </w:tc>
      </w:tr>
      <w:tr>
        <w:tc>
          <w:tcPr>
            <w:tcW w:type="dxa" w:w="3135"/>
            <w:shd w:val="clear" w:color="auto" w:fill="EBF3FB"/>
          </w:tcPr>
          <w:p>
            <w:pPr>
              <w:jc w:val="center"/>
            </w:pPr>
            <w:r>
              <w:rPr>
                <w:rFonts w:ascii="Calibri" w:hAnsi="Calibri"/>
                <w:b w:val="0"/>
                <w:color w:val="595959"/>
                <w:sz w:val="20"/>
              </w:rPr>
              <w:t>Total Orders Analyzed</w:t>
            </w:r>
          </w:p>
        </w:tc>
        <w:tc>
          <w:tcPr>
            <w:tcW w:type="dxa" w:w="3135"/>
            <w:shd w:val="clear" w:color="auto" w:fill="EBF3FB"/>
          </w:tcPr>
          <w:p>
            <w:pPr>
              <w:jc w:val="center"/>
            </w:pPr>
            <w:r>
              <w:rPr>
                <w:rFonts w:ascii="Calibri" w:hAnsi="Calibri"/>
                <w:b/>
                <w:color w:val="1F3864"/>
                <w:sz w:val="20"/>
              </w:rPr>
              <w:t>520</w:t>
            </w:r>
          </w:p>
        </w:tc>
        <w:tc>
          <w:tcPr>
            <w:tcW w:type="dxa" w:w="3135"/>
            <w:shd w:val="clear" w:color="auto" w:fill="EBF3FB"/>
          </w:tcPr>
          <w:p>
            <w:pPr>
              <w:jc w:val="center"/>
            </w:pPr>
            <w:r>
              <w:rPr>
                <w:rFonts w:ascii="Calibri" w:hAnsi="Calibri"/>
                <w:b w:val="0"/>
                <w:color w:val="595959"/>
                <w:sz w:val="20"/>
              </w:rPr>
              <w:t>Jan–Dec 2024</w:t>
            </w:r>
          </w:p>
        </w:tc>
      </w:tr>
      <w:tr>
        <w:tc>
          <w:tcPr>
            <w:tcW w:type="dxa" w:w="3135"/>
            <w:shd w:val="clear" w:color="auto" w:fill="FFFFFF"/>
          </w:tcPr>
          <w:p>
            <w:pPr>
              <w:jc w:val="center"/>
            </w:pPr>
            <w:r>
              <w:rPr>
                <w:rFonts w:ascii="Calibri" w:hAnsi="Calibri"/>
                <w:b w:val="0"/>
                <w:color w:val="595959"/>
                <w:sz w:val="20"/>
              </w:rPr>
              <w:t>Average Processing Time</w:t>
            </w:r>
          </w:p>
        </w:tc>
        <w:tc>
          <w:tcPr>
            <w:tcW w:type="dxa" w:w="3135"/>
            <w:shd w:val="clear" w:color="auto" w:fill="FFFFFF"/>
          </w:tcPr>
          <w:p>
            <w:pPr>
              <w:jc w:val="center"/>
            </w:pPr>
            <w:r>
              <w:rPr>
                <w:rFonts w:ascii="Calibri" w:hAnsi="Calibri"/>
                <w:b/>
                <w:color w:val="1F3864"/>
                <w:sz w:val="20"/>
              </w:rPr>
              <w:t>52.4 min</w:t>
            </w:r>
          </w:p>
        </w:tc>
        <w:tc>
          <w:tcPr>
            <w:tcW w:type="dxa" w:w="3135"/>
            <w:shd w:val="clear" w:color="auto" w:fill="FFFFFF"/>
          </w:tcPr>
          <w:p>
            <w:pPr>
              <w:jc w:val="center"/>
            </w:pPr>
            <w:r>
              <w:rPr>
                <w:rFonts w:ascii="Calibri" w:hAnsi="Calibri"/>
                <w:b w:val="0"/>
                <w:color w:val="595959"/>
                <w:sz w:val="20"/>
              </w:rPr>
              <w:t>Data entry + validation</w:t>
            </w:r>
          </w:p>
        </w:tc>
      </w:tr>
      <w:tr>
        <w:tc>
          <w:tcPr>
            <w:tcW w:type="dxa" w:w="3135"/>
            <w:shd w:val="clear" w:color="auto" w:fill="EBF3FB"/>
          </w:tcPr>
          <w:p>
            <w:pPr>
              <w:jc w:val="center"/>
            </w:pPr>
            <w:r>
              <w:rPr>
                <w:rFonts w:ascii="Calibri" w:hAnsi="Calibri"/>
                <w:b w:val="0"/>
                <w:color w:val="595959"/>
                <w:sz w:val="20"/>
              </w:rPr>
              <w:t>Average Stock Check Time</w:t>
            </w:r>
          </w:p>
        </w:tc>
        <w:tc>
          <w:tcPr>
            <w:tcW w:type="dxa" w:w="3135"/>
            <w:shd w:val="clear" w:color="auto" w:fill="EBF3FB"/>
          </w:tcPr>
          <w:p>
            <w:pPr>
              <w:jc w:val="center"/>
            </w:pPr>
            <w:r>
              <w:rPr>
                <w:rFonts w:ascii="Calibri" w:hAnsi="Calibri"/>
                <w:b/>
                <w:color w:val="1F3864"/>
                <w:sz w:val="20"/>
              </w:rPr>
              <w:t>18.2 min</w:t>
            </w:r>
          </w:p>
        </w:tc>
        <w:tc>
          <w:tcPr>
            <w:tcW w:type="dxa" w:w="3135"/>
            <w:shd w:val="clear" w:color="auto" w:fill="EBF3FB"/>
          </w:tcPr>
          <w:p>
            <w:pPr>
              <w:jc w:val="center"/>
            </w:pPr>
            <w:r>
              <w:rPr>
                <w:rFonts w:ascii="Calibri" w:hAnsi="Calibri"/>
                <w:b w:val="0"/>
                <w:color w:val="595959"/>
                <w:sz w:val="20"/>
              </w:rPr>
              <w:t>Manual warehouse contact</w:t>
            </w:r>
          </w:p>
        </w:tc>
      </w:tr>
      <w:tr>
        <w:tc>
          <w:tcPr>
            <w:tcW w:type="dxa" w:w="3135"/>
            <w:shd w:val="clear" w:color="auto" w:fill="FFFFFF"/>
          </w:tcPr>
          <w:p>
            <w:pPr>
              <w:jc w:val="center"/>
            </w:pPr>
            <w:r>
              <w:rPr>
                <w:rFonts w:ascii="Calibri" w:hAnsi="Calibri"/>
                <w:b w:val="0"/>
                <w:color w:val="595959"/>
                <w:sz w:val="20"/>
              </w:rPr>
              <w:t>Average Invoice Generation Time</w:t>
            </w:r>
          </w:p>
        </w:tc>
        <w:tc>
          <w:tcPr>
            <w:tcW w:type="dxa" w:w="3135"/>
            <w:shd w:val="clear" w:color="auto" w:fill="FFFFFF"/>
          </w:tcPr>
          <w:p>
            <w:pPr>
              <w:jc w:val="center"/>
            </w:pPr>
            <w:r>
              <w:rPr>
                <w:rFonts w:ascii="Calibri" w:hAnsi="Calibri"/>
                <w:b/>
                <w:color w:val="1F3864"/>
                <w:sz w:val="20"/>
              </w:rPr>
              <w:t>12.1 min</w:t>
            </w:r>
          </w:p>
        </w:tc>
        <w:tc>
          <w:tcPr>
            <w:tcW w:type="dxa" w:w="3135"/>
            <w:shd w:val="clear" w:color="auto" w:fill="FFFFFF"/>
          </w:tcPr>
          <w:p>
            <w:pPr>
              <w:jc w:val="center"/>
            </w:pPr>
            <w:r>
              <w:rPr>
                <w:rFonts w:ascii="Calibri" w:hAnsi="Calibri"/>
                <w:b w:val="0"/>
                <w:color w:val="595959"/>
                <w:sz w:val="20"/>
              </w:rPr>
              <w:t>Manual re-entry</w:t>
            </w:r>
          </w:p>
        </w:tc>
      </w:tr>
      <w:tr>
        <w:tc>
          <w:tcPr>
            <w:tcW w:type="dxa" w:w="3135"/>
            <w:shd w:val="clear" w:color="auto" w:fill="EBF3FB"/>
          </w:tcPr>
          <w:p>
            <w:pPr>
              <w:jc w:val="center"/>
            </w:pPr>
            <w:r>
              <w:rPr>
                <w:rFonts w:ascii="Calibri" w:hAnsi="Calibri"/>
                <w:b w:val="0"/>
                <w:color w:val="595959"/>
                <w:sz w:val="20"/>
              </w:rPr>
              <w:t>Average Dispatch Preparation Time</w:t>
            </w:r>
          </w:p>
        </w:tc>
        <w:tc>
          <w:tcPr>
            <w:tcW w:type="dxa" w:w="3135"/>
            <w:shd w:val="clear" w:color="auto" w:fill="EBF3FB"/>
          </w:tcPr>
          <w:p>
            <w:pPr>
              <w:jc w:val="center"/>
            </w:pPr>
            <w:r>
              <w:rPr>
                <w:rFonts w:ascii="Calibri" w:hAnsi="Calibri"/>
                <w:b/>
                <w:color w:val="1F3864"/>
                <w:sz w:val="20"/>
              </w:rPr>
              <w:t>26.3 min</w:t>
            </w:r>
          </w:p>
        </w:tc>
        <w:tc>
          <w:tcPr>
            <w:tcW w:type="dxa" w:w="3135"/>
            <w:shd w:val="clear" w:color="auto" w:fill="EBF3FB"/>
          </w:tcPr>
          <w:p>
            <w:pPr>
              <w:jc w:val="center"/>
            </w:pPr>
            <w:r>
              <w:rPr>
                <w:rFonts w:ascii="Calibri" w:hAnsi="Calibri"/>
                <w:b w:val="0"/>
                <w:color w:val="595959"/>
                <w:sz w:val="20"/>
              </w:rPr>
              <w:t>Warehouse side</w:t>
            </w:r>
          </w:p>
        </w:tc>
      </w:tr>
      <w:tr>
        <w:tc>
          <w:tcPr>
            <w:tcW w:type="dxa" w:w="3135"/>
            <w:shd w:val="clear" w:color="auto" w:fill="FFFFFF"/>
          </w:tcPr>
          <w:p>
            <w:pPr>
              <w:jc w:val="center"/>
            </w:pPr>
            <w:r>
              <w:rPr>
                <w:rFonts w:ascii="Calibri" w:hAnsi="Calibri"/>
                <w:b w:val="0"/>
                <w:color w:val="595959"/>
                <w:sz w:val="20"/>
              </w:rPr>
              <w:t>Average Total Lead Time</w:t>
            </w:r>
          </w:p>
        </w:tc>
        <w:tc>
          <w:tcPr>
            <w:tcW w:type="dxa" w:w="3135"/>
            <w:shd w:val="clear" w:color="auto" w:fill="FFFFFF"/>
          </w:tcPr>
          <w:p>
            <w:pPr>
              <w:jc w:val="center"/>
            </w:pPr>
            <w:r>
              <w:rPr>
                <w:rFonts w:ascii="Calibri" w:hAnsi="Calibri"/>
                <w:b/>
                <w:color w:val="1F3864"/>
                <w:sz w:val="20"/>
              </w:rPr>
              <w:t>~109 min</w:t>
            </w:r>
          </w:p>
        </w:tc>
        <w:tc>
          <w:tcPr>
            <w:tcW w:type="dxa" w:w="3135"/>
            <w:shd w:val="clear" w:color="auto" w:fill="FFFFFF"/>
          </w:tcPr>
          <w:p>
            <w:pPr>
              <w:jc w:val="center"/>
            </w:pPr>
            <w:r>
              <w:rPr>
                <w:rFonts w:ascii="Calibri" w:hAnsi="Calibri"/>
                <w:b w:val="0"/>
                <w:color w:val="595959"/>
                <w:sz w:val="20"/>
              </w:rPr>
              <w:t>Order receipt to dispatch start</w:t>
            </w:r>
          </w:p>
        </w:tc>
      </w:tr>
      <w:tr>
        <w:tc>
          <w:tcPr>
            <w:tcW w:type="dxa" w:w="3135"/>
            <w:shd w:val="clear" w:color="auto" w:fill="EBF3FB"/>
          </w:tcPr>
          <w:p>
            <w:pPr>
              <w:jc w:val="center"/>
            </w:pPr>
            <w:r>
              <w:rPr>
                <w:rFonts w:ascii="Calibri" w:hAnsi="Calibri"/>
                <w:b w:val="0"/>
                <w:color w:val="595959"/>
                <w:sz w:val="20"/>
              </w:rPr>
              <w:t>Error Rate (orders with errors)</w:t>
            </w:r>
          </w:p>
        </w:tc>
        <w:tc>
          <w:tcPr>
            <w:tcW w:type="dxa" w:w="3135"/>
            <w:shd w:val="clear" w:color="auto" w:fill="EBF3FB"/>
          </w:tcPr>
          <w:p>
            <w:pPr>
              <w:jc w:val="center"/>
            </w:pPr>
            <w:r>
              <w:rPr>
                <w:rFonts w:ascii="Calibri" w:hAnsi="Calibri"/>
                <w:b/>
                <w:color w:val="1F3864"/>
                <w:sz w:val="20"/>
              </w:rPr>
              <w:t>33.1%</w:t>
            </w:r>
          </w:p>
        </w:tc>
        <w:tc>
          <w:tcPr>
            <w:tcW w:type="dxa" w:w="3135"/>
            <w:shd w:val="clear" w:color="auto" w:fill="EBF3FB"/>
          </w:tcPr>
          <w:p>
            <w:pPr>
              <w:jc w:val="center"/>
            </w:pPr>
            <w:r>
              <w:rPr>
                <w:rFonts w:ascii="Calibri" w:hAnsi="Calibri"/>
                <w:b w:val="0"/>
                <w:color w:val="595959"/>
                <w:sz w:val="20"/>
              </w:rPr>
              <w:t>Transcription + stock errors</w:t>
            </w:r>
          </w:p>
        </w:tc>
      </w:tr>
      <w:tr>
        <w:tc>
          <w:tcPr>
            <w:tcW w:type="dxa" w:w="3135"/>
            <w:shd w:val="clear" w:color="auto" w:fill="FFFFFF"/>
          </w:tcPr>
          <w:p>
            <w:pPr>
              <w:jc w:val="center"/>
            </w:pPr>
            <w:r>
              <w:rPr>
                <w:rFonts w:ascii="Calibri" w:hAnsi="Calibri"/>
                <w:b w:val="0"/>
                <w:color w:val="595959"/>
                <w:sz w:val="20"/>
              </w:rPr>
              <w:t>Cancelled Order Rate</w:t>
            </w:r>
          </w:p>
        </w:tc>
        <w:tc>
          <w:tcPr>
            <w:tcW w:type="dxa" w:w="3135"/>
            <w:shd w:val="clear" w:color="auto" w:fill="FFFFFF"/>
          </w:tcPr>
          <w:p>
            <w:pPr>
              <w:jc w:val="center"/>
            </w:pPr>
            <w:r>
              <w:rPr>
                <w:rFonts w:ascii="Calibri" w:hAnsi="Calibri"/>
                <w:b/>
                <w:color w:val="1F3864"/>
                <w:sz w:val="20"/>
              </w:rPr>
              <w:t>7.3%</w:t>
            </w:r>
          </w:p>
        </w:tc>
        <w:tc>
          <w:tcPr>
            <w:tcW w:type="dxa" w:w="3135"/>
            <w:shd w:val="clear" w:color="auto" w:fill="FFFFFF"/>
          </w:tcPr>
          <w:p>
            <w:pPr>
              <w:jc w:val="center"/>
            </w:pPr>
            <w:r>
              <w:rPr>
                <w:rFonts w:ascii="Calibri" w:hAnsi="Calibri"/>
                <w:b w:val="0"/>
                <w:color w:val="595959"/>
                <w:sz w:val="20"/>
              </w:rPr>
              <w:t>Primarily due to stockouts/errors</w:t>
            </w:r>
          </w:p>
        </w:tc>
      </w:tr>
      <w:tr>
        <w:tc>
          <w:tcPr>
            <w:tcW w:type="dxa" w:w="3135"/>
            <w:shd w:val="clear" w:color="auto" w:fill="EBF3FB"/>
          </w:tcPr>
          <w:p>
            <w:pPr>
              <w:jc w:val="center"/>
            </w:pPr>
            <w:r>
              <w:rPr>
                <w:rFonts w:ascii="Calibri" w:hAnsi="Calibri"/>
                <w:b w:val="0"/>
                <w:color w:val="595959"/>
                <w:sz w:val="20"/>
              </w:rPr>
              <w:t>Orders 'Con Error' Status</w:t>
            </w:r>
          </w:p>
        </w:tc>
        <w:tc>
          <w:tcPr>
            <w:tcW w:type="dxa" w:w="3135"/>
            <w:shd w:val="clear" w:color="auto" w:fill="EBF3FB"/>
          </w:tcPr>
          <w:p>
            <w:pPr>
              <w:jc w:val="center"/>
            </w:pPr>
            <w:r>
              <w:rPr>
                <w:rFonts w:ascii="Calibri" w:hAnsi="Calibri"/>
                <w:b/>
                <w:color w:val="1F3864"/>
                <w:sz w:val="20"/>
              </w:rPr>
              <w:t>18.0%</w:t>
            </w:r>
          </w:p>
        </w:tc>
        <w:tc>
          <w:tcPr>
            <w:tcW w:type="dxa" w:w="3135"/>
            <w:shd w:val="clear" w:color="auto" w:fill="EBF3FB"/>
          </w:tcPr>
          <w:p>
            <w:pPr>
              <w:jc w:val="center"/>
            </w:pPr>
            <w:r>
              <w:rPr>
                <w:rFonts w:ascii="Calibri" w:hAnsi="Calibri"/>
                <w:b w:val="0"/>
                <w:color w:val="595959"/>
                <w:sz w:val="20"/>
              </w:rPr>
              <w:t>Required rework or re-processing</w:t>
            </w:r>
          </w:p>
        </w:tc>
      </w:tr>
      <w:tr>
        <w:tc>
          <w:tcPr>
            <w:tcW w:type="dxa" w:w="3135"/>
            <w:shd w:val="clear" w:color="auto" w:fill="FFFFFF"/>
          </w:tcPr>
          <w:p>
            <w:pPr>
              <w:jc w:val="center"/>
            </w:pPr>
            <w:r>
              <w:rPr>
                <w:rFonts w:ascii="Calibri" w:hAnsi="Calibri"/>
                <w:b w:val="0"/>
                <w:color w:val="595959"/>
                <w:sz w:val="20"/>
              </w:rPr>
              <w:t>Email Channel Share</w:t>
            </w:r>
          </w:p>
        </w:tc>
        <w:tc>
          <w:tcPr>
            <w:tcW w:type="dxa" w:w="3135"/>
            <w:shd w:val="clear" w:color="auto" w:fill="FFFFFF"/>
          </w:tcPr>
          <w:p>
            <w:pPr>
              <w:jc w:val="center"/>
            </w:pPr>
            <w:r>
              <w:rPr>
                <w:rFonts w:ascii="Calibri" w:hAnsi="Calibri"/>
                <w:b/>
                <w:color w:val="1F3864"/>
                <w:sz w:val="20"/>
              </w:rPr>
              <w:t>60.4%</w:t>
            </w:r>
          </w:p>
        </w:tc>
        <w:tc>
          <w:tcPr>
            <w:tcW w:type="dxa" w:w="3135"/>
            <w:shd w:val="clear" w:color="auto" w:fill="FFFFFF"/>
          </w:tcPr>
          <w:p>
            <w:pPr>
              <w:jc w:val="center"/>
            </w:pPr>
            <w:r>
              <w:rPr>
                <w:rFonts w:ascii="Calibri" w:hAnsi="Calibri"/>
                <w:b w:val="0"/>
                <w:color w:val="595959"/>
                <w:sz w:val="20"/>
              </w:rPr>
              <w:t>Highest error-risk channel</w:t>
            </w:r>
          </w:p>
        </w:tc>
      </w:tr>
      <w:tr>
        <w:tc>
          <w:tcPr>
            <w:tcW w:type="dxa" w:w="3135"/>
            <w:shd w:val="clear" w:color="auto" w:fill="EBF3FB"/>
          </w:tcPr>
          <w:p>
            <w:pPr>
              <w:jc w:val="center"/>
            </w:pPr>
            <w:r>
              <w:rPr>
                <w:rFonts w:ascii="Calibri" w:hAnsi="Calibri"/>
                <w:b w:val="0"/>
                <w:color w:val="595959"/>
                <w:sz w:val="20"/>
              </w:rPr>
              <w:t>Manual Channel Share (Email+Phone)</w:t>
            </w:r>
          </w:p>
        </w:tc>
        <w:tc>
          <w:tcPr>
            <w:tcW w:type="dxa" w:w="3135"/>
            <w:shd w:val="clear" w:color="auto" w:fill="EBF3FB"/>
          </w:tcPr>
          <w:p>
            <w:pPr>
              <w:jc w:val="center"/>
            </w:pPr>
            <w:r>
              <w:rPr>
                <w:rFonts w:ascii="Calibri" w:hAnsi="Calibri"/>
                <w:b/>
                <w:color w:val="1F3864"/>
                <w:sz w:val="20"/>
              </w:rPr>
              <w:t>75.0%</w:t>
            </w:r>
          </w:p>
        </w:tc>
        <w:tc>
          <w:tcPr>
            <w:tcW w:type="dxa" w:w="3135"/>
            <w:shd w:val="clear" w:color="auto" w:fill="EBF3FB"/>
          </w:tcPr>
          <w:p>
            <w:pPr>
              <w:jc w:val="center"/>
            </w:pPr>
            <w:r>
              <w:rPr>
                <w:rFonts w:ascii="Calibri" w:hAnsi="Calibri"/>
                <w:b w:val="0"/>
                <w:color w:val="595959"/>
                <w:sz w:val="20"/>
              </w:rPr>
              <w:t>Requires full manual transcription</w:t>
            </w:r>
          </w:p>
        </w:tc>
      </w:tr>
      <w:tr>
        <w:tc>
          <w:tcPr>
            <w:tcW w:type="dxa" w:w="3135"/>
            <w:shd w:val="clear" w:color="auto" w:fill="FFFFFF"/>
          </w:tcPr>
          <w:p>
            <w:pPr>
              <w:jc w:val="center"/>
            </w:pPr>
            <w:r>
              <w:rPr>
                <w:rFonts w:ascii="Calibri" w:hAnsi="Calibri"/>
                <w:b w:val="0"/>
                <w:color w:val="595959"/>
                <w:sz w:val="20"/>
              </w:rPr>
              <w:t>Average Order Value</w:t>
            </w:r>
          </w:p>
        </w:tc>
        <w:tc>
          <w:tcPr>
            <w:tcW w:type="dxa" w:w="3135"/>
            <w:shd w:val="clear" w:color="auto" w:fill="FFFFFF"/>
          </w:tcPr>
          <w:p>
            <w:pPr>
              <w:jc w:val="center"/>
            </w:pPr>
            <w:r>
              <w:rPr>
                <w:rFonts w:ascii="Calibri" w:hAnsi="Calibri"/>
                <w:b/>
                <w:color w:val="1F3864"/>
                <w:sz w:val="20"/>
              </w:rPr>
              <w:t>~$12,800 USD</w:t>
            </w:r>
          </w:p>
        </w:tc>
        <w:tc>
          <w:tcPr>
            <w:tcW w:type="dxa" w:w="3135"/>
            <w:shd w:val="clear" w:color="auto" w:fill="FFFFFF"/>
          </w:tcPr>
          <w:p>
            <w:pPr>
              <w:jc w:val="center"/>
            </w:pPr>
            <w:r>
              <w:rPr>
                <w:rFonts w:ascii="Calibri" w:hAnsi="Calibri"/>
                <w:b w:val="0"/>
                <w:color w:val="595959"/>
                <w:sz w:val="20"/>
              </w:rPr>
              <w:t>Wholesale customer orders</w:t>
            </w:r>
          </w:p>
        </w:tc>
      </w:tr>
    </w:tbl>
    <w:p>
      <w:r>
        <w:br w:type="page"/>
      </w:r>
    </w:p>
    <w:p>
      <w:pPr>
        <w:spacing w:before="240" w:after="80"/>
        <w:jc w:val="left"/>
      </w:pPr>
      <w:r>
        <w:rPr>
          <w:rFonts w:ascii="Calibri" w:hAnsi="Calibri"/>
          <w:b/>
          <w:color w:val="1F3864"/>
          <w:sz w:val="36"/>
        </w:rPr>
        <w:t>4.  IDENTIFIED INEFFICIENCIES</w:t>
      </w:r>
    </w:p>
    <w:p>
      <w:pPr>
        <w:spacing w:before="80" w:after="80"/>
        <w:pBdr>
          <w:bottom w:val="single" w:sz="6" w:space="1" w:color="2E75B6"/>
        </w:pBdr>
      </w:pPr>
    </w:p>
    <w:p>
      <w:pPr>
        <w:spacing w:before="160" w:after="60"/>
      </w:pPr>
      <w:r>
        <w:rPr>
          <w:rFonts w:ascii="Calibri" w:hAnsi="Calibri"/>
          <w:b/>
          <w:color w:val="2E75B6"/>
          <w:sz w:val="26"/>
        </w:rPr>
        <w:t>Root Cause Analysis — 5 Major Inefficiency Clusters</w:t>
      </w:r>
    </w:p>
    <w:p>
      <w:pPr>
        <w:spacing w:before="160"/>
      </w:pPr>
      <w:r>
        <w:rPr>
          <w:rFonts w:ascii="Calibri" w:hAnsi="Calibri"/>
          <w:b/>
          <w:color w:val="C00000"/>
          <w:sz w:val="22"/>
        </w:rPr>
        <w:t>1. Manual Data Entry &amp; Transcription Errors</w:t>
      </w:r>
    </w:p>
    <w:p>
      <w:r>
        <w:rPr>
          <w:rFonts w:ascii="Calibri" w:hAnsi="Calibri"/>
          <w:i/>
          <w:color w:val="595959"/>
          <w:sz w:val="20"/>
        </w:rPr>
        <w:t>Root Cause: No digital order capture form. Orders arrive in unstructured formats via email/phone.</w:t>
      </w:r>
    </w:p>
    <w:p>
      <w:pPr>
        <w:pStyle w:val="ListBullet"/>
        <w:spacing w:before="40" w:after="40"/>
        <w:ind w:left="432"/>
      </w:pPr>
      <w:r>
        <w:rPr>
          <w:rFonts w:ascii="Calibri" w:hAnsi="Calibri"/>
          <w:color w:val="595959"/>
          <w:sz w:val="20"/>
        </w:rPr>
        <w:t>33% of orders contain at least one error detectable before processing</w:t>
      </w:r>
    </w:p>
    <w:p>
      <w:pPr>
        <w:pStyle w:val="ListBullet"/>
        <w:spacing w:before="40" w:after="40"/>
        <w:ind w:left="432"/>
      </w:pPr>
      <w:r>
        <w:rPr>
          <w:rFonts w:ascii="Calibri" w:hAnsi="Calibri"/>
          <w:color w:val="595959"/>
          <w:sz w:val="20"/>
        </w:rPr>
        <w:t>Average 45 minutes of staff time consumed per order during data entry</w:t>
      </w:r>
    </w:p>
    <w:p>
      <w:pPr>
        <w:pStyle w:val="ListBullet"/>
        <w:spacing w:before="40" w:after="40"/>
        <w:ind w:left="432"/>
      </w:pPr>
      <w:r>
        <w:rPr>
          <w:rFonts w:ascii="Calibri" w:hAnsi="Calibri"/>
          <w:color w:val="595959"/>
          <w:sz w:val="20"/>
        </w:rPr>
        <w:t>Rework costs estimated at 2,800+ staff hours annually</w:t>
      </w:r>
    </w:p>
    <w:p>
      <w:pPr>
        <w:pStyle w:val="ListBullet"/>
        <w:spacing w:before="40" w:after="40"/>
        <w:ind w:left="432"/>
      </w:pPr>
      <w:r>
        <w:rPr>
          <w:rFonts w:ascii="Calibri" w:hAnsi="Calibri"/>
          <w:color w:val="595959"/>
          <w:sz w:val="20"/>
        </w:rPr>
        <w:t>Error propagation: mistakes in Step 2 cascade through Steps 4, 5, and 6</w:t>
      </w:r>
    </w:p>
    <w:p>
      <w:pPr>
        <w:spacing w:before="160"/>
      </w:pPr>
      <w:r>
        <w:rPr>
          <w:rFonts w:ascii="Calibri" w:hAnsi="Calibri"/>
          <w:b/>
          <w:color w:val="C00000"/>
          <w:sz w:val="22"/>
        </w:rPr>
        <w:t>2. Absence of Real-Time Inventory Integration</w:t>
      </w:r>
    </w:p>
    <w:p>
      <w:r>
        <w:rPr>
          <w:rFonts w:ascii="Calibri" w:hAnsi="Calibri"/>
          <w:i/>
          <w:color w:val="595959"/>
          <w:sz w:val="20"/>
        </w:rPr>
        <w:t>Root Cause: Order management system is completely disconnected from inventory/WMS.</w:t>
      </w:r>
    </w:p>
    <w:p>
      <w:pPr>
        <w:pStyle w:val="ListBullet"/>
        <w:spacing w:before="40" w:after="40"/>
        <w:ind w:left="432"/>
      </w:pPr>
      <w:r>
        <w:rPr>
          <w:rFonts w:ascii="Calibri" w:hAnsi="Calibri"/>
          <w:color w:val="595959"/>
          <w:sz w:val="20"/>
        </w:rPr>
        <w:t>18+ minutes per order spent on manual stock verification calls</w:t>
      </w:r>
    </w:p>
    <w:p>
      <w:pPr>
        <w:pStyle w:val="ListBullet"/>
        <w:spacing w:before="40" w:after="40"/>
        <w:ind w:left="432"/>
      </w:pPr>
      <w:r>
        <w:rPr>
          <w:rFonts w:ascii="Calibri" w:hAnsi="Calibri"/>
          <w:color w:val="595959"/>
          <w:sz w:val="20"/>
        </w:rPr>
        <w:t>Stock-outs discovered post-confirmation cause 7.3% cancellation rate</w:t>
      </w:r>
    </w:p>
    <w:p>
      <w:pPr>
        <w:pStyle w:val="ListBullet"/>
        <w:spacing w:before="40" w:after="40"/>
        <w:ind w:left="432"/>
      </w:pPr>
      <w:r>
        <w:rPr>
          <w:rFonts w:ascii="Calibri" w:hAnsi="Calibri"/>
          <w:color w:val="595959"/>
          <w:sz w:val="20"/>
        </w:rPr>
        <w:t>No visibility into reserve stock or in-transit inventory</w:t>
      </w:r>
    </w:p>
    <w:p>
      <w:pPr>
        <w:pStyle w:val="ListBullet"/>
        <w:spacing w:before="40" w:after="40"/>
        <w:ind w:left="432"/>
      </w:pPr>
      <w:r>
        <w:rPr>
          <w:rFonts w:ascii="Calibri" w:hAnsi="Calibri"/>
          <w:color w:val="595959"/>
          <w:sz w:val="20"/>
        </w:rPr>
        <w:t>Inability to offer customers alternative SKU suggestions proactively</w:t>
      </w:r>
    </w:p>
    <w:p>
      <w:pPr>
        <w:spacing w:before="160"/>
      </w:pPr>
      <w:r>
        <w:rPr>
          <w:rFonts w:ascii="Calibri" w:hAnsi="Calibri"/>
          <w:b/>
          <w:color w:val="ED7D31"/>
          <w:sz w:val="22"/>
        </w:rPr>
        <w:t>3. Duplicate Data Entry Across Systems</w:t>
      </w:r>
    </w:p>
    <w:p>
      <w:r>
        <w:rPr>
          <w:rFonts w:ascii="Calibri" w:hAnsi="Calibri"/>
          <w:i/>
          <w:color w:val="595959"/>
          <w:sz w:val="20"/>
        </w:rPr>
        <w:t>Root Cause: No system integration between order capture (Excel), invoicing, and dispatch.</w:t>
      </w:r>
    </w:p>
    <w:p>
      <w:pPr>
        <w:pStyle w:val="ListBullet"/>
        <w:spacing w:before="40" w:after="40"/>
        <w:ind w:left="432"/>
      </w:pPr>
      <w:r>
        <w:rPr>
          <w:rFonts w:ascii="Calibri" w:hAnsi="Calibri"/>
          <w:color w:val="595959"/>
          <w:sz w:val="20"/>
        </w:rPr>
        <w:t>Order data is re-entered 3 times: Excel entry → Invoice system → Dispatch document</w:t>
      </w:r>
    </w:p>
    <w:p>
      <w:pPr>
        <w:pStyle w:val="ListBullet"/>
        <w:spacing w:before="40" w:after="40"/>
        <w:ind w:left="432"/>
      </w:pPr>
      <w:r>
        <w:rPr>
          <w:rFonts w:ascii="Calibri" w:hAnsi="Calibri"/>
          <w:color w:val="595959"/>
          <w:sz w:val="20"/>
        </w:rPr>
        <w:t>Each re-entry multiplies the probability of error and increases processing time</w:t>
      </w:r>
    </w:p>
    <w:p>
      <w:pPr>
        <w:pStyle w:val="ListBullet"/>
        <w:spacing w:before="40" w:after="40"/>
        <w:ind w:left="432"/>
      </w:pPr>
      <w:r>
        <w:rPr>
          <w:rFonts w:ascii="Calibri" w:hAnsi="Calibri"/>
          <w:color w:val="595959"/>
          <w:sz w:val="20"/>
        </w:rPr>
        <w:t>Estimated 40+ hours per month wasted on duplicate data entry tasks</w:t>
      </w:r>
    </w:p>
    <w:p>
      <w:pPr>
        <w:pStyle w:val="ListBullet"/>
        <w:spacing w:before="40" w:after="40"/>
        <w:ind w:left="432"/>
      </w:pPr>
      <w:r>
        <w:rPr>
          <w:rFonts w:ascii="Calibri" w:hAnsi="Calibri"/>
          <w:color w:val="595959"/>
          <w:sz w:val="20"/>
        </w:rPr>
        <w:t>No single source of truth for order data across the organization</w:t>
      </w:r>
    </w:p>
    <w:p>
      <w:pPr>
        <w:spacing w:before="160"/>
      </w:pPr>
      <w:r>
        <w:rPr>
          <w:rFonts w:ascii="Calibri" w:hAnsi="Calibri"/>
          <w:b/>
          <w:color w:val="ED7D31"/>
          <w:sz w:val="22"/>
        </w:rPr>
        <w:t>4. No Automated Confirmation or Status Updates</w:t>
      </w:r>
    </w:p>
    <w:p>
      <w:r>
        <w:rPr>
          <w:rFonts w:ascii="Calibri" w:hAnsi="Calibri"/>
          <w:i/>
          <w:color w:val="595959"/>
          <w:sz w:val="20"/>
        </w:rPr>
        <w:t>Root Cause: All customer communications are handled manually by administrative staff.</w:t>
      </w:r>
    </w:p>
    <w:p>
      <w:pPr>
        <w:pStyle w:val="ListBullet"/>
        <w:spacing w:before="40" w:after="40"/>
        <w:ind w:left="432"/>
      </w:pPr>
      <w:r>
        <w:rPr>
          <w:rFonts w:ascii="Calibri" w:hAnsi="Calibri"/>
          <w:color w:val="595959"/>
          <w:sz w:val="20"/>
        </w:rPr>
        <w:t>Customers must proactively call or email to check order status</w:t>
      </w:r>
    </w:p>
    <w:p>
      <w:pPr>
        <w:pStyle w:val="ListBullet"/>
        <w:spacing w:before="40" w:after="40"/>
        <w:ind w:left="432"/>
      </w:pPr>
      <w:r>
        <w:rPr>
          <w:rFonts w:ascii="Calibri" w:hAnsi="Calibri"/>
          <w:color w:val="595959"/>
          <w:sz w:val="20"/>
        </w:rPr>
        <w:t>Confirmation delays average 45 minutes; peak-day delays exceed 2 hours</w:t>
      </w:r>
    </w:p>
    <w:p>
      <w:pPr>
        <w:pStyle w:val="ListBullet"/>
        <w:spacing w:before="40" w:after="40"/>
        <w:ind w:left="432"/>
      </w:pPr>
      <w:r>
        <w:rPr>
          <w:rFonts w:ascii="Calibri" w:hAnsi="Calibri"/>
          <w:color w:val="595959"/>
          <w:sz w:val="20"/>
        </w:rPr>
        <w:t>3 major accounts flagged delayed confirmations as primary dissatisfaction driver</w:t>
      </w:r>
    </w:p>
    <w:p>
      <w:pPr>
        <w:pStyle w:val="ListBullet"/>
        <w:spacing w:before="40" w:after="40"/>
        <w:ind w:left="432"/>
      </w:pPr>
      <w:r>
        <w:rPr>
          <w:rFonts w:ascii="Calibri" w:hAnsi="Calibri"/>
          <w:color w:val="595959"/>
          <w:sz w:val="20"/>
        </w:rPr>
        <w:t>No automated escalation when orders exceed SLA thresholds</w:t>
      </w:r>
    </w:p>
    <w:p>
      <w:pPr>
        <w:spacing w:before="160"/>
      </w:pPr>
      <w:r>
        <w:rPr>
          <w:rFonts w:ascii="Calibri" w:hAnsi="Calibri"/>
          <w:b/>
          <w:color w:val="FFC000"/>
          <w:sz w:val="22"/>
        </w:rPr>
        <w:t>5. Lack of Operational Visibility &amp; Analytics</w:t>
      </w:r>
    </w:p>
    <w:p>
      <w:r>
        <w:rPr>
          <w:rFonts w:ascii="Calibri" w:hAnsi="Calibri"/>
          <w:i/>
          <w:color w:val="595959"/>
          <w:sz w:val="20"/>
        </w:rPr>
        <w:t>Root Cause: No operational dashboard; performance tracked via ad-hoc Excel analysis.</w:t>
      </w:r>
    </w:p>
    <w:p>
      <w:pPr>
        <w:pStyle w:val="ListBullet"/>
        <w:spacing w:before="40" w:after="40"/>
        <w:ind w:left="432"/>
      </w:pPr>
      <w:r>
        <w:rPr>
          <w:rFonts w:ascii="Calibri" w:hAnsi="Calibri"/>
          <w:color w:val="595959"/>
          <w:sz w:val="20"/>
        </w:rPr>
        <w:t>Management cannot identify bottlenecks or peak-load periods in real time</w:t>
      </w:r>
    </w:p>
    <w:p>
      <w:pPr>
        <w:pStyle w:val="ListBullet"/>
        <w:spacing w:before="40" w:after="40"/>
        <w:ind w:left="432"/>
      </w:pPr>
      <w:r>
        <w:rPr>
          <w:rFonts w:ascii="Calibri" w:hAnsi="Calibri"/>
          <w:color w:val="595959"/>
          <w:sz w:val="20"/>
        </w:rPr>
        <w:t>No capacity planning capability; staffing decisions based on intuition</w:t>
      </w:r>
    </w:p>
    <w:p>
      <w:pPr>
        <w:pStyle w:val="ListBullet"/>
        <w:spacing w:before="40" w:after="40"/>
        <w:ind w:left="432"/>
      </w:pPr>
      <w:r>
        <w:rPr>
          <w:rFonts w:ascii="Calibri" w:hAnsi="Calibri"/>
          <w:color w:val="595959"/>
          <w:sz w:val="20"/>
        </w:rPr>
        <w:t>Impossible to measure SLA compliance or individual process step performance</w:t>
      </w:r>
    </w:p>
    <w:p>
      <w:pPr>
        <w:pStyle w:val="ListBullet"/>
        <w:spacing w:before="40" w:after="40"/>
        <w:ind w:left="432"/>
      </w:pPr>
      <w:r>
        <w:rPr>
          <w:rFonts w:ascii="Calibri" w:hAnsi="Calibri"/>
          <w:color w:val="595959"/>
          <w:sz w:val="20"/>
        </w:rPr>
        <w:t>Root causes of order errors cannot be systematically analyzed or tracked</w:t>
      </w:r>
    </w:p>
    <w:p>
      <w:pPr>
        <w:spacing w:before="160" w:after="60"/>
      </w:pPr>
      <w:r>
        <w:rPr>
          <w:rFonts w:ascii="Calibri" w:hAnsi="Calibri"/>
          <w:b/>
          <w:color w:val="2E75B6"/>
          <w:sz w:val="26"/>
        </w:rPr>
        <w:t>Process Waste Quantification (Lean Analysis)</w:t>
      </w:r>
    </w:p>
    <w:tbl>
      <w:tblPr>
        <w:tblStyle w:val="TableGrid"/>
        <w:tblW w:type="auto" w:w="0"/>
        <w:jc w:val="center"/>
        <w:tblLook w:firstColumn="1" w:firstRow="1" w:lastColumn="0" w:lastRow="0" w:noHBand="0" w:noVBand="1" w:val="04A0"/>
      </w:tblPr>
      <w:tblGrid>
        <w:gridCol w:w="2160"/>
        <w:gridCol w:w="2160"/>
        <w:gridCol w:w="5760"/>
      </w:tblGrid>
      <w:tr>
        <w:tc>
          <w:tcPr>
            <w:tcW w:type="dxa" w:w="3135"/>
            <w:shd w:val="clear" w:color="auto" w:fill="C00000"/>
          </w:tcPr>
          <w:p>
            <w:pPr>
              <w:jc w:val="center"/>
            </w:pPr>
            <w:r>
              <w:rPr>
                <w:rFonts w:ascii="Calibri" w:hAnsi="Calibri"/>
                <w:b/>
                <w:color w:val="FFFFFF"/>
                <w:sz w:val="20"/>
              </w:rPr>
              <w:t>Waste Type</w:t>
            </w:r>
          </w:p>
        </w:tc>
        <w:tc>
          <w:tcPr>
            <w:tcW w:type="dxa" w:w="3135"/>
            <w:shd w:val="clear" w:color="auto" w:fill="C00000"/>
          </w:tcPr>
          <w:p>
            <w:pPr>
              <w:jc w:val="center"/>
            </w:pPr>
            <w:r>
              <w:rPr>
                <w:rFonts w:ascii="Calibri" w:hAnsi="Calibri"/>
                <w:b/>
                <w:color w:val="FFFFFF"/>
                <w:sz w:val="20"/>
              </w:rPr>
              <w:t>Magnitude</w:t>
            </w:r>
          </w:p>
        </w:tc>
        <w:tc>
          <w:tcPr>
            <w:tcW w:type="dxa" w:w="3135"/>
            <w:shd w:val="clear" w:color="auto" w:fill="C00000"/>
          </w:tcPr>
          <w:p>
            <w:pPr>
              <w:jc w:val="center"/>
            </w:pPr>
            <w:r>
              <w:rPr>
                <w:rFonts w:ascii="Calibri" w:hAnsi="Calibri"/>
                <w:b/>
                <w:color w:val="FFFFFF"/>
                <w:sz w:val="20"/>
              </w:rPr>
              <w:t>Description</w:t>
            </w:r>
          </w:p>
        </w:tc>
      </w:tr>
      <w:tr>
        <w:tc>
          <w:tcPr>
            <w:tcW w:type="dxa" w:w="3135"/>
            <w:shd w:val="clear" w:color="auto" w:fill="FFF0F0"/>
          </w:tcPr>
          <w:p>
            <w:pPr>
              <w:jc w:val="center"/>
            </w:pPr>
            <w:r>
              <w:rPr>
                <w:rFonts w:ascii="Calibri" w:hAnsi="Calibri"/>
                <w:color w:val="1F3864"/>
                <w:sz w:val="20"/>
              </w:rPr>
              <w:t>Waiting</w:t>
            </w:r>
          </w:p>
        </w:tc>
        <w:tc>
          <w:tcPr>
            <w:tcW w:type="dxa" w:w="3135"/>
            <w:shd w:val="clear" w:color="auto" w:fill="FFF0F0"/>
          </w:tcPr>
          <w:p>
            <w:pPr>
              <w:jc w:val="center"/>
            </w:pPr>
            <w:r>
              <w:rPr>
                <w:rFonts w:ascii="Calibri" w:hAnsi="Calibri"/>
                <w:color w:val="C00000"/>
                <w:sz w:val="20"/>
              </w:rPr>
              <w:t>45 min avg</w:t>
            </w:r>
          </w:p>
        </w:tc>
        <w:tc>
          <w:tcPr>
            <w:tcW w:type="dxa" w:w="3135"/>
            <w:shd w:val="clear" w:color="auto" w:fill="FFF0F0"/>
          </w:tcPr>
          <w:p>
            <w:pPr>
              <w:jc w:val="center"/>
            </w:pPr>
            <w:r>
              <w:rPr>
                <w:rFonts w:ascii="Calibri" w:hAnsi="Calibri"/>
                <w:color w:val="595959"/>
                <w:sz w:val="20"/>
              </w:rPr>
              <w:t>Customer waits for order confirmation</w:t>
            </w:r>
          </w:p>
        </w:tc>
      </w:tr>
      <w:tr>
        <w:tc>
          <w:tcPr>
            <w:tcW w:type="dxa" w:w="3135"/>
            <w:shd w:val="clear" w:color="auto" w:fill="FFFFFF"/>
          </w:tcPr>
          <w:p>
            <w:pPr>
              <w:jc w:val="center"/>
            </w:pPr>
            <w:r>
              <w:rPr>
                <w:rFonts w:ascii="Calibri" w:hAnsi="Calibri"/>
                <w:color w:val="1F3864"/>
                <w:sz w:val="20"/>
              </w:rPr>
              <w:t>Re-work</w:t>
            </w:r>
          </w:p>
        </w:tc>
        <w:tc>
          <w:tcPr>
            <w:tcW w:type="dxa" w:w="3135"/>
            <w:shd w:val="clear" w:color="auto" w:fill="FFFFFF"/>
          </w:tcPr>
          <w:p>
            <w:pPr>
              <w:jc w:val="center"/>
            </w:pPr>
            <w:r>
              <w:rPr>
                <w:rFonts w:ascii="Calibri" w:hAnsi="Calibri"/>
                <w:color w:val="C00000"/>
                <w:sz w:val="20"/>
              </w:rPr>
              <w:t>33% orders</w:t>
            </w:r>
          </w:p>
        </w:tc>
        <w:tc>
          <w:tcPr>
            <w:tcW w:type="dxa" w:w="3135"/>
            <w:shd w:val="clear" w:color="auto" w:fill="FFFFFF"/>
          </w:tcPr>
          <w:p>
            <w:pPr>
              <w:jc w:val="center"/>
            </w:pPr>
            <w:r>
              <w:rPr>
                <w:rFonts w:ascii="Calibri" w:hAnsi="Calibri"/>
                <w:color w:val="595959"/>
                <w:sz w:val="20"/>
              </w:rPr>
              <w:t>Error correction and re-processing</w:t>
            </w:r>
          </w:p>
        </w:tc>
      </w:tr>
      <w:tr>
        <w:tc>
          <w:tcPr>
            <w:tcW w:type="dxa" w:w="3135"/>
            <w:shd w:val="clear" w:color="auto" w:fill="FFF0F0"/>
          </w:tcPr>
          <w:p>
            <w:pPr>
              <w:jc w:val="center"/>
            </w:pPr>
            <w:r>
              <w:rPr>
                <w:rFonts w:ascii="Calibri" w:hAnsi="Calibri"/>
                <w:color w:val="1F3864"/>
                <w:sz w:val="20"/>
              </w:rPr>
              <w:t>Motion</w:t>
            </w:r>
          </w:p>
        </w:tc>
        <w:tc>
          <w:tcPr>
            <w:tcW w:type="dxa" w:w="3135"/>
            <w:shd w:val="clear" w:color="auto" w:fill="FFF0F0"/>
          </w:tcPr>
          <w:p>
            <w:pPr>
              <w:jc w:val="center"/>
            </w:pPr>
            <w:r>
              <w:rPr>
                <w:rFonts w:ascii="Calibri" w:hAnsi="Calibri"/>
                <w:color w:val="C00000"/>
                <w:sz w:val="20"/>
              </w:rPr>
              <w:t>18 min avg</w:t>
            </w:r>
          </w:p>
        </w:tc>
        <w:tc>
          <w:tcPr>
            <w:tcW w:type="dxa" w:w="3135"/>
            <w:shd w:val="clear" w:color="auto" w:fill="FFF0F0"/>
          </w:tcPr>
          <w:p>
            <w:pPr>
              <w:jc w:val="center"/>
            </w:pPr>
            <w:r>
              <w:rPr>
                <w:rFonts w:ascii="Calibri" w:hAnsi="Calibri"/>
                <w:color w:val="595959"/>
                <w:sz w:val="20"/>
              </w:rPr>
              <w:t>Staff time on manual stock checks</w:t>
            </w:r>
          </w:p>
        </w:tc>
      </w:tr>
      <w:tr>
        <w:tc>
          <w:tcPr>
            <w:tcW w:type="dxa" w:w="3135"/>
            <w:shd w:val="clear" w:color="auto" w:fill="FFFFFF"/>
          </w:tcPr>
          <w:p>
            <w:pPr>
              <w:jc w:val="center"/>
            </w:pPr>
            <w:r>
              <w:rPr>
                <w:rFonts w:ascii="Calibri" w:hAnsi="Calibri"/>
                <w:color w:val="1F3864"/>
                <w:sz w:val="20"/>
              </w:rPr>
              <w:t>Over-processing</w:t>
            </w:r>
          </w:p>
        </w:tc>
        <w:tc>
          <w:tcPr>
            <w:tcW w:type="dxa" w:w="3135"/>
            <w:shd w:val="clear" w:color="auto" w:fill="FFFFFF"/>
          </w:tcPr>
          <w:p>
            <w:pPr>
              <w:jc w:val="center"/>
            </w:pPr>
            <w:r>
              <w:rPr>
                <w:rFonts w:ascii="Calibri" w:hAnsi="Calibri"/>
                <w:color w:val="C00000"/>
                <w:sz w:val="20"/>
              </w:rPr>
              <w:t>3× re-entry</w:t>
            </w:r>
          </w:p>
        </w:tc>
        <w:tc>
          <w:tcPr>
            <w:tcW w:type="dxa" w:w="3135"/>
            <w:shd w:val="clear" w:color="auto" w:fill="FFFFFF"/>
          </w:tcPr>
          <w:p>
            <w:pPr>
              <w:jc w:val="center"/>
            </w:pPr>
            <w:r>
              <w:rPr>
                <w:rFonts w:ascii="Calibri" w:hAnsi="Calibri"/>
                <w:color w:val="595959"/>
                <w:sz w:val="20"/>
              </w:rPr>
              <w:t>Data entered in 3 different systems</w:t>
            </w:r>
          </w:p>
        </w:tc>
      </w:tr>
      <w:tr>
        <w:tc>
          <w:tcPr>
            <w:tcW w:type="dxa" w:w="3135"/>
            <w:shd w:val="clear" w:color="auto" w:fill="FFF0F0"/>
          </w:tcPr>
          <w:p>
            <w:pPr>
              <w:jc w:val="center"/>
            </w:pPr>
            <w:r>
              <w:rPr>
                <w:rFonts w:ascii="Calibri" w:hAnsi="Calibri"/>
                <w:color w:val="1F3864"/>
                <w:sz w:val="20"/>
              </w:rPr>
              <w:t>Defects</w:t>
            </w:r>
          </w:p>
        </w:tc>
        <w:tc>
          <w:tcPr>
            <w:tcW w:type="dxa" w:w="3135"/>
            <w:shd w:val="clear" w:color="auto" w:fill="FFF0F0"/>
          </w:tcPr>
          <w:p>
            <w:pPr>
              <w:jc w:val="center"/>
            </w:pPr>
            <w:r>
              <w:rPr>
                <w:rFonts w:ascii="Calibri" w:hAnsi="Calibri"/>
                <w:color w:val="C00000"/>
                <w:sz w:val="20"/>
              </w:rPr>
              <w:t>7.3% cancel</w:t>
            </w:r>
          </w:p>
        </w:tc>
        <w:tc>
          <w:tcPr>
            <w:tcW w:type="dxa" w:w="3135"/>
            <w:shd w:val="clear" w:color="auto" w:fill="FFF0F0"/>
          </w:tcPr>
          <w:p>
            <w:pPr>
              <w:jc w:val="center"/>
            </w:pPr>
            <w:r>
              <w:rPr>
                <w:rFonts w:ascii="Calibri" w:hAnsi="Calibri"/>
                <w:color w:val="595959"/>
                <w:sz w:val="20"/>
              </w:rPr>
              <w:t>Cancelled orders due to avoidable errors</w:t>
            </w:r>
          </w:p>
        </w:tc>
      </w:tr>
    </w:tbl>
    <w:p>
      <w:r>
        <w:br w:type="page"/>
      </w:r>
    </w:p>
    <w:p>
      <w:pPr>
        <w:spacing w:before="240" w:after="80"/>
        <w:jc w:val="left"/>
      </w:pPr>
      <w:r>
        <w:rPr>
          <w:rFonts w:ascii="Calibri" w:hAnsi="Calibri"/>
          <w:b/>
          <w:color w:val="1F3864"/>
          <w:sz w:val="36"/>
        </w:rPr>
        <w:t>5.  PROCESS REDESIGN  (TO-BE)</w:t>
      </w:r>
    </w:p>
    <w:p>
      <w:pPr>
        <w:spacing w:before="80" w:after="80"/>
        <w:pBdr>
          <w:bottom w:val="single" w:sz="6" w:space="1" w:color="2E75B6"/>
        </w:pBdr>
      </w:pPr>
    </w:p>
    <w:p>
      <w:pPr>
        <w:spacing w:before="60" w:after="60" w:line="360" w:lineRule="auto"/>
        <w:jc w:val="both"/>
      </w:pPr>
      <w:r>
        <w:rPr>
          <w:rFonts w:ascii="Calibri" w:hAnsi="Calibri"/>
          <w:b w:val="0"/>
          <w:i w:val="0"/>
          <w:color w:val="595959"/>
          <w:sz w:val="21"/>
        </w:rPr>
        <w:t>The redesigned process eliminates all manual transcription steps, establishes real-time system integration across order capture, inventory, invoicing, and dispatch, and introduces automated customer communication at each status change. The target architecture follows a unified Order Management System (OMS) hub-and-spoke model, where all downstream systems are driven by a single validated order record created at point of capture.</w:t>
      </w:r>
    </w:p>
    <w:p>
      <w:pPr>
        <w:spacing w:before="160" w:after="60"/>
      </w:pPr>
      <w:r>
        <w:rPr>
          <w:rFonts w:ascii="Calibri" w:hAnsi="Calibri"/>
          <w:b/>
          <w:color w:val="2E75B6"/>
          <w:sz w:val="26"/>
        </w:rPr>
        <w:t>Redesigned Process Steps</w:t>
      </w:r>
    </w:p>
    <w:p>
      <w:pPr>
        <w:spacing w:before="120"/>
      </w:pPr>
      <w:r>
        <w:rPr>
          <w:rFonts w:ascii="Calibri" w:hAnsi="Calibri"/>
          <w:b/>
          <w:color w:val="70AD47"/>
          <w:sz w:val="22"/>
        </w:rPr>
        <w:t xml:space="preserve">Step 1: Digital Order Capture  —  </w:t>
      </w:r>
      <w:r>
        <w:rPr>
          <w:rFonts w:ascii="Calibri" w:hAnsi="Calibri"/>
          <w:color w:val="595959"/>
          <w:sz w:val="20"/>
        </w:rPr>
        <w:t>Customers submit orders through a branded digital portal with pre-validated product catalog, quantities, and delivery preferences. WhatsApp Business API integration provides a conversational ordering experience for customers who prefer messaging. Phone orders are handled via a structured intake form completed by the assistant — data entered once, validated immediately.</w:t>
      </w:r>
    </w:p>
    <w:p>
      <w:pPr>
        <w:spacing w:before="120"/>
      </w:pPr>
      <w:r>
        <w:rPr>
          <w:rFonts w:ascii="Calibri" w:hAnsi="Calibri"/>
          <w:b/>
          <w:color w:val="70AD47"/>
          <w:sz w:val="22"/>
        </w:rPr>
        <w:t xml:space="preserve">Step 2: Automated Validation Engine  —  </w:t>
      </w:r>
      <w:r>
        <w:rPr>
          <w:rFonts w:ascii="Calibri" w:hAnsi="Calibri"/>
          <w:color w:val="595959"/>
          <w:sz w:val="20"/>
        </w:rPr>
        <w:t>The OMS applies business rules automatically: SKU validation, minimum order quantities, credit limit checks, delivery zone verification, and duplicate order detection. Invalid orders are flagged with specific error codes and returned to the customer with resolution guidance within seconds. Valid orders proceed automatically to the next step without human intervention.</w:t>
      </w:r>
    </w:p>
    <w:p>
      <w:pPr>
        <w:spacing w:before="120"/>
      </w:pPr>
      <w:r>
        <w:rPr>
          <w:rFonts w:ascii="Calibri" w:hAnsi="Calibri"/>
          <w:b/>
          <w:color w:val="70AD47"/>
          <w:sz w:val="22"/>
        </w:rPr>
        <w:t xml:space="preserve">Step 3: Real-Time Inventory Check via ERP API  —  </w:t>
      </w:r>
      <w:r>
        <w:rPr>
          <w:rFonts w:ascii="Calibri" w:hAnsi="Calibri"/>
          <w:color w:val="595959"/>
          <w:sz w:val="20"/>
        </w:rPr>
        <w:t>Upon validation, the OMS queries the ERP/WMS via API for real-time stock availability across all warehouse locations. If stock is fully available, the order is confirmed automatically. If partial stock is available, the system presents substitution options. This step now takes under 3 seconds versus the previous 18-minute manual process.</w:t>
      </w:r>
    </w:p>
    <w:p>
      <w:pPr>
        <w:spacing w:before="120"/>
      </w:pPr>
      <w:r>
        <w:rPr>
          <w:rFonts w:ascii="Calibri" w:hAnsi="Calibri"/>
          <w:b/>
          <w:color w:val="70AD47"/>
          <w:sz w:val="22"/>
        </w:rPr>
        <w:t xml:space="preserve">Step 4: Automated Confirmation &amp; Invoice Generation  —  </w:t>
      </w:r>
      <w:r>
        <w:rPr>
          <w:rFonts w:ascii="Calibri" w:hAnsi="Calibri"/>
          <w:color w:val="595959"/>
          <w:sz w:val="20"/>
        </w:rPr>
        <w:t>The system simultaneously: (a) sends the customer an order confirmation email with PDF summary, (b) generates a legally compliant electronic invoice, and (c) reserves inventory in the WMS. All documents are generated from a single validated data record, eliminating duplication.</w:t>
      </w:r>
    </w:p>
    <w:p>
      <w:pPr>
        <w:spacing w:before="120"/>
      </w:pPr>
      <w:r>
        <w:rPr>
          <w:rFonts w:ascii="Calibri" w:hAnsi="Calibri"/>
          <w:b/>
          <w:color w:val="70AD47"/>
          <w:sz w:val="22"/>
        </w:rPr>
        <w:t xml:space="preserve">Step 5: Automated WMS Dispatch Trigger  —  </w:t>
      </w:r>
      <w:r>
        <w:rPr>
          <w:rFonts w:ascii="Calibri" w:hAnsi="Calibri"/>
          <w:color w:val="595959"/>
          <w:sz w:val="20"/>
        </w:rPr>
        <w:t>A pick list is automatically pushed to the warehouse management system, triggering the fulfillment workflow. Warehouse staff receive tasks on handheld devices. The OMS tracks packing status and triggers shipping label generation upon completion.</w:t>
      </w:r>
    </w:p>
    <w:p>
      <w:pPr>
        <w:spacing w:before="120"/>
      </w:pPr>
      <w:r>
        <w:rPr>
          <w:rFonts w:ascii="Calibri" w:hAnsi="Calibri"/>
          <w:b/>
          <w:color w:val="70AD47"/>
          <w:sz w:val="22"/>
        </w:rPr>
        <w:t xml:space="preserve">Step 6: Last-Mile Integration &amp; Customer Tracking  —  </w:t>
      </w:r>
      <w:r>
        <w:rPr>
          <w:rFonts w:ascii="Calibri" w:hAnsi="Calibri"/>
          <w:color w:val="595959"/>
          <w:sz w:val="20"/>
        </w:rPr>
        <w:t>The OMS connects to the logistics partner API to create a shipment, assign a tracking number, and send the customer a branded tracking link. Status updates are pushed automatically at dispatch, in-transit, and delivery events.</w:t>
      </w:r>
    </w:p>
    <w:p>
      <w:pPr>
        <w:spacing w:before="160" w:after="60"/>
      </w:pPr>
      <w:r>
        <w:rPr>
          <w:rFonts w:ascii="Calibri" w:hAnsi="Calibri"/>
          <w:b/>
          <w:color w:val="2E75B6"/>
          <w:sz w:val="26"/>
        </w:rPr>
        <w:t>Current vs. Optimized Process Comparison</w:t>
      </w:r>
    </w:p>
    <w:tbl>
      <w:tblPr>
        <w:tblStyle w:val="TableGrid"/>
        <w:tblW w:type="auto" w:w="0"/>
        <w:jc w:val="center"/>
        <w:tblLook w:firstColumn="1" w:firstRow="1" w:lastColumn="0" w:lastRow="0" w:noHBand="0" w:noVBand="1" w:val="04A0"/>
      </w:tblPr>
      <w:tblGrid>
        <w:gridCol w:w="2448"/>
        <w:gridCol w:w="2592"/>
        <w:gridCol w:w="2592"/>
        <w:gridCol w:w="2448"/>
      </w:tblGrid>
      <w:tr>
        <w:tc>
          <w:tcPr>
            <w:tcW w:type="dxa" w:w="2351"/>
            <w:shd w:val="clear" w:color="auto" w:fill="1F3864"/>
          </w:tcPr>
          <w:p>
            <w:pPr>
              <w:jc w:val="center"/>
            </w:pPr>
            <w:r>
              <w:rPr>
                <w:rFonts w:ascii="Calibri" w:hAnsi="Calibri"/>
                <w:b/>
                <w:color w:val="FFFFFF"/>
                <w:sz w:val="19"/>
              </w:rPr>
              <w:t>Process Step</w:t>
            </w:r>
          </w:p>
        </w:tc>
        <w:tc>
          <w:tcPr>
            <w:tcW w:type="dxa" w:w="2351"/>
            <w:shd w:val="clear" w:color="auto" w:fill="C00000"/>
          </w:tcPr>
          <w:p>
            <w:pPr>
              <w:jc w:val="center"/>
            </w:pPr>
            <w:r>
              <w:rPr>
                <w:rFonts w:ascii="Calibri" w:hAnsi="Calibri"/>
                <w:b/>
                <w:color w:val="FFFFFF"/>
                <w:sz w:val="19"/>
              </w:rPr>
              <w:t>Current State</w:t>
            </w:r>
          </w:p>
        </w:tc>
        <w:tc>
          <w:tcPr>
            <w:tcW w:type="dxa" w:w="2351"/>
            <w:shd w:val="clear" w:color="auto" w:fill="375623"/>
          </w:tcPr>
          <w:p>
            <w:pPr>
              <w:jc w:val="center"/>
            </w:pPr>
            <w:r>
              <w:rPr>
                <w:rFonts w:ascii="Calibri" w:hAnsi="Calibri"/>
                <w:b/>
                <w:color w:val="FFFFFF"/>
                <w:sz w:val="19"/>
              </w:rPr>
              <w:t>Optimized State</w:t>
            </w:r>
          </w:p>
        </w:tc>
        <w:tc>
          <w:tcPr>
            <w:tcW w:type="dxa" w:w="2351"/>
            <w:shd w:val="clear" w:color="auto" w:fill="7F6000"/>
          </w:tcPr>
          <w:p>
            <w:pPr>
              <w:jc w:val="center"/>
            </w:pPr>
            <w:r>
              <w:rPr>
                <w:rFonts w:ascii="Calibri" w:hAnsi="Calibri"/>
                <w:b/>
                <w:color w:val="FFFFFF"/>
                <w:sz w:val="19"/>
              </w:rPr>
              <w:t>Improvement</w:t>
            </w:r>
          </w:p>
        </w:tc>
      </w:tr>
      <w:tr>
        <w:tc>
          <w:tcPr>
            <w:tcW w:type="dxa" w:w="2351"/>
            <w:shd w:val="clear" w:color="auto" w:fill="F2F2F2"/>
          </w:tcPr>
          <w:p>
            <w:pPr>
              <w:jc w:val="center"/>
            </w:pPr>
            <w:r>
              <w:rPr>
                <w:rFonts w:ascii="Calibri" w:hAnsi="Calibri"/>
                <w:color w:val="1F3864"/>
                <w:sz w:val="18"/>
              </w:rPr>
              <w:t>Order Capture</w:t>
            </w:r>
          </w:p>
        </w:tc>
        <w:tc>
          <w:tcPr>
            <w:tcW w:type="dxa" w:w="2351"/>
            <w:shd w:val="clear" w:color="auto" w:fill="FFF0F0"/>
          </w:tcPr>
          <w:p>
            <w:pPr>
              <w:jc w:val="center"/>
            </w:pPr>
            <w:r>
              <w:rPr>
                <w:rFonts w:ascii="Calibri" w:hAnsi="Calibri"/>
                <w:color w:val="C00000"/>
                <w:sz w:val="18"/>
              </w:rPr>
              <w:t>Email / Phone</w:t>
              <w:br/>
              <w:t>~0 min + errors</w:t>
            </w:r>
          </w:p>
        </w:tc>
        <w:tc>
          <w:tcPr>
            <w:tcW w:type="dxa" w:w="2351"/>
            <w:shd w:val="clear" w:color="auto" w:fill="F0FFF0"/>
          </w:tcPr>
          <w:p>
            <w:pPr>
              <w:jc w:val="center"/>
            </w:pPr>
            <w:r>
              <w:rPr>
                <w:rFonts w:ascii="Calibri" w:hAnsi="Calibri"/>
                <w:color w:val="70AD47"/>
                <w:sz w:val="18"/>
              </w:rPr>
              <w:t>Digital Portal / API</w:t>
              <w:br/>
              <w:t>&lt; 1 min, auto-validated</w:t>
            </w:r>
          </w:p>
        </w:tc>
        <w:tc>
          <w:tcPr>
            <w:tcW w:type="dxa" w:w="2351"/>
            <w:shd w:val="clear" w:color="auto" w:fill="FFFFF0"/>
          </w:tcPr>
          <w:p>
            <w:pPr>
              <w:jc w:val="center"/>
            </w:pPr>
            <w:r>
              <w:rPr>
                <w:rFonts w:ascii="Calibri" w:hAnsi="Calibri"/>
                <w:color w:val="FFC000"/>
                <w:sz w:val="18"/>
              </w:rPr>
              <w:t>-92% time</w:t>
              <w:br/>
              <w:t>Errors eliminated</w:t>
            </w:r>
          </w:p>
        </w:tc>
      </w:tr>
      <w:tr>
        <w:tc>
          <w:tcPr>
            <w:tcW w:type="dxa" w:w="2351"/>
            <w:shd w:val="clear" w:color="auto" w:fill="FFFFFF"/>
          </w:tcPr>
          <w:p>
            <w:pPr>
              <w:jc w:val="center"/>
            </w:pPr>
            <w:r>
              <w:rPr>
                <w:rFonts w:ascii="Calibri" w:hAnsi="Calibri"/>
                <w:color w:val="1F3864"/>
                <w:sz w:val="18"/>
              </w:rPr>
              <w:t>Data Entry</w:t>
            </w:r>
          </w:p>
        </w:tc>
        <w:tc>
          <w:tcPr>
            <w:tcW w:type="dxa" w:w="2351"/>
            <w:shd w:val="clear" w:color="auto" w:fill="FFF0F0"/>
          </w:tcPr>
          <w:p>
            <w:pPr>
              <w:jc w:val="center"/>
            </w:pPr>
            <w:r>
              <w:rPr>
                <w:rFonts w:ascii="Calibri" w:hAnsi="Calibri"/>
                <w:color w:val="C00000"/>
                <w:sz w:val="18"/>
              </w:rPr>
              <w:t>Manual Excel</w:t>
              <w:br/>
              <w:t>45 min avg</w:t>
            </w:r>
          </w:p>
        </w:tc>
        <w:tc>
          <w:tcPr>
            <w:tcW w:type="dxa" w:w="2351"/>
            <w:shd w:val="clear" w:color="auto" w:fill="F0FFF0"/>
          </w:tcPr>
          <w:p>
            <w:pPr>
              <w:jc w:val="center"/>
            </w:pPr>
            <w:r>
              <w:rPr>
                <w:rFonts w:ascii="Calibri" w:hAnsi="Calibri"/>
                <w:color w:val="70AD47"/>
                <w:sz w:val="18"/>
              </w:rPr>
              <w:t>Single-entry OMS</w:t>
              <w:br/>
              <w:t>&lt; 2 min</w:t>
            </w:r>
          </w:p>
        </w:tc>
        <w:tc>
          <w:tcPr>
            <w:tcW w:type="dxa" w:w="2351"/>
            <w:shd w:val="clear" w:color="auto" w:fill="FFFFF0"/>
          </w:tcPr>
          <w:p>
            <w:pPr>
              <w:jc w:val="center"/>
            </w:pPr>
            <w:r>
              <w:rPr>
                <w:rFonts w:ascii="Calibri" w:hAnsi="Calibri"/>
                <w:color w:val="FFC000"/>
                <w:sz w:val="18"/>
              </w:rPr>
              <w:t>-96% time</w:t>
            </w:r>
          </w:p>
        </w:tc>
      </w:tr>
      <w:tr>
        <w:tc>
          <w:tcPr>
            <w:tcW w:type="dxa" w:w="2351"/>
            <w:shd w:val="clear" w:color="auto" w:fill="F2F2F2"/>
          </w:tcPr>
          <w:p>
            <w:pPr>
              <w:jc w:val="center"/>
            </w:pPr>
            <w:r>
              <w:rPr>
                <w:rFonts w:ascii="Calibri" w:hAnsi="Calibri"/>
                <w:color w:val="1F3864"/>
                <w:sz w:val="18"/>
              </w:rPr>
              <w:t>Stock Check</w:t>
            </w:r>
          </w:p>
        </w:tc>
        <w:tc>
          <w:tcPr>
            <w:tcW w:type="dxa" w:w="2351"/>
            <w:shd w:val="clear" w:color="auto" w:fill="FFF0F0"/>
          </w:tcPr>
          <w:p>
            <w:pPr>
              <w:jc w:val="center"/>
            </w:pPr>
            <w:r>
              <w:rPr>
                <w:rFonts w:ascii="Calibri" w:hAnsi="Calibri"/>
                <w:color w:val="C00000"/>
                <w:sz w:val="18"/>
              </w:rPr>
              <w:t>Manual phone call</w:t>
              <w:br/>
              <w:t>18 min avg</w:t>
            </w:r>
          </w:p>
        </w:tc>
        <w:tc>
          <w:tcPr>
            <w:tcW w:type="dxa" w:w="2351"/>
            <w:shd w:val="clear" w:color="auto" w:fill="F0FFF0"/>
          </w:tcPr>
          <w:p>
            <w:pPr>
              <w:jc w:val="center"/>
            </w:pPr>
            <w:r>
              <w:rPr>
                <w:rFonts w:ascii="Calibri" w:hAnsi="Calibri"/>
                <w:color w:val="70AD47"/>
                <w:sz w:val="18"/>
              </w:rPr>
              <w:t>Real-time API</w:t>
              <w:br/>
              <w:t>&lt; 3 seconds</w:t>
            </w:r>
          </w:p>
        </w:tc>
        <w:tc>
          <w:tcPr>
            <w:tcW w:type="dxa" w:w="2351"/>
            <w:shd w:val="clear" w:color="auto" w:fill="FFFFF0"/>
          </w:tcPr>
          <w:p>
            <w:pPr>
              <w:jc w:val="center"/>
            </w:pPr>
            <w:r>
              <w:rPr>
                <w:rFonts w:ascii="Calibri" w:hAnsi="Calibri"/>
                <w:color w:val="FFC000"/>
                <w:sz w:val="18"/>
              </w:rPr>
              <w:t>-99% time</w:t>
            </w:r>
          </w:p>
        </w:tc>
      </w:tr>
      <w:tr>
        <w:tc>
          <w:tcPr>
            <w:tcW w:type="dxa" w:w="2351"/>
            <w:shd w:val="clear" w:color="auto" w:fill="FFFFFF"/>
          </w:tcPr>
          <w:p>
            <w:pPr>
              <w:jc w:val="center"/>
            </w:pPr>
            <w:r>
              <w:rPr>
                <w:rFonts w:ascii="Calibri" w:hAnsi="Calibri"/>
                <w:color w:val="1F3864"/>
                <w:sz w:val="18"/>
              </w:rPr>
              <w:t>Confirmation</w:t>
            </w:r>
          </w:p>
        </w:tc>
        <w:tc>
          <w:tcPr>
            <w:tcW w:type="dxa" w:w="2351"/>
            <w:shd w:val="clear" w:color="auto" w:fill="FFF0F0"/>
          </w:tcPr>
          <w:p>
            <w:pPr>
              <w:jc w:val="center"/>
            </w:pPr>
            <w:r>
              <w:rPr>
                <w:rFonts w:ascii="Calibri" w:hAnsi="Calibri"/>
                <w:color w:val="C00000"/>
                <w:sz w:val="18"/>
              </w:rPr>
              <w:t>Manual email</w:t>
              <w:br/>
              <w:t>45 min avg</w:t>
            </w:r>
          </w:p>
        </w:tc>
        <w:tc>
          <w:tcPr>
            <w:tcW w:type="dxa" w:w="2351"/>
            <w:shd w:val="clear" w:color="auto" w:fill="F0FFF0"/>
          </w:tcPr>
          <w:p>
            <w:pPr>
              <w:jc w:val="center"/>
            </w:pPr>
            <w:r>
              <w:rPr>
                <w:rFonts w:ascii="Calibri" w:hAnsi="Calibri"/>
                <w:color w:val="70AD47"/>
                <w:sz w:val="18"/>
              </w:rPr>
              <w:t>Auto-generated</w:t>
              <w:br/>
              <w:t>&lt; 30 seconds</w:t>
            </w:r>
          </w:p>
        </w:tc>
        <w:tc>
          <w:tcPr>
            <w:tcW w:type="dxa" w:w="2351"/>
            <w:shd w:val="clear" w:color="auto" w:fill="FFFFF0"/>
          </w:tcPr>
          <w:p>
            <w:pPr>
              <w:jc w:val="center"/>
            </w:pPr>
            <w:r>
              <w:rPr>
                <w:rFonts w:ascii="Calibri" w:hAnsi="Calibri"/>
                <w:color w:val="FFC000"/>
                <w:sz w:val="18"/>
              </w:rPr>
              <w:t>-98% time</w:t>
            </w:r>
          </w:p>
        </w:tc>
      </w:tr>
      <w:tr>
        <w:tc>
          <w:tcPr>
            <w:tcW w:type="dxa" w:w="2351"/>
            <w:shd w:val="clear" w:color="auto" w:fill="F2F2F2"/>
          </w:tcPr>
          <w:p>
            <w:pPr>
              <w:jc w:val="center"/>
            </w:pPr>
            <w:r>
              <w:rPr>
                <w:rFonts w:ascii="Calibri" w:hAnsi="Calibri"/>
                <w:color w:val="1F3864"/>
                <w:sz w:val="18"/>
              </w:rPr>
              <w:t>Invoicing</w:t>
            </w:r>
          </w:p>
        </w:tc>
        <w:tc>
          <w:tcPr>
            <w:tcW w:type="dxa" w:w="2351"/>
            <w:shd w:val="clear" w:color="auto" w:fill="FFF0F0"/>
          </w:tcPr>
          <w:p>
            <w:pPr>
              <w:jc w:val="center"/>
            </w:pPr>
            <w:r>
              <w:rPr>
                <w:rFonts w:ascii="Calibri" w:hAnsi="Calibri"/>
                <w:color w:val="C00000"/>
                <w:sz w:val="18"/>
              </w:rPr>
              <w:t>Manual re-entry</w:t>
              <w:br/>
              <w:t>12 min avg</w:t>
            </w:r>
          </w:p>
        </w:tc>
        <w:tc>
          <w:tcPr>
            <w:tcW w:type="dxa" w:w="2351"/>
            <w:shd w:val="clear" w:color="auto" w:fill="F0FFF0"/>
          </w:tcPr>
          <w:p>
            <w:pPr>
              <w:jc w:val="center"/>
            </w:pPr>
            <w:r>
              <w:rPr>
                <w:rFonts w:ascii="Calibri" w:hAnsi="Calibri"/>
                <w:color w:val="70AD47"/>
                <w:sz w:val="18"/>
              </w:rPr>
              <w:t>Auto-generated</w:t>
              <w:br/>
              <w:t>&lt; 10 seconds</w:t>
            </w:r>
          </w:p>
        </w:tc>
        <w:tc>
          <w:tcPr>
            <w:tcW w:type="dxa" w:w="2351"/>
            <w:shd w:val="clear" w:color="auto" w:fill="FFFFF0"/>
          </w:tcPr>
          <w:p>
            <w:pPr>
              <w:jc w:val="center"/>
            </w:pPr>
            <w:r>
              <w:rPr>
                <w:rFonts w:ascii="Calibri" w:hAnsi="Calibri"/>
                <w:color w:val="FFC000"/>
                <w:sz w:val="18"/>
              </w:rPr>
              <w:t>-99% time</w:t>
            </w:r>
          </w:p>
        </w:tc>
      </w:tr>
      <w:tr>
        <w:tc>
          <w:tcPr>
            <w:tcW w:type="dxa" w:w="2351"/>
            <w:shd w:val="clear" w:color="auto" w:fill="FFFFFF"/>
          </w:tcPr>
          <w:p>
            <w:pPr>
              <w:jc w:val="center"/>
            </w:pPr>
            <w:r>
              <w:rPr>
                <w:rFonts w:ascii="Calibri" w:hAnsi="Calibri"/>
                <w:color w:val="1F3864"/>
                <w:sz w:val="18"/>
              </w:rPr>
              <w:t>Dispatch</w:t>
            </w:r>
          </w:p>
        </w:tc>
        <w:tc>
          <w:tcPr>
            <w:tcW w:type="dxa" w:w="2351"/>
            <w:shd w:val="clear" w:color="auto" w:fill="FFF0F0"/>
          </w:tcPr>
          <w:p>
            <w:pPr>
              <w:jc w:val="center"/>
            </w:pPr>
            <w:r>
              <w:rPr>
                <w:rFonts w:ascii="Calibri" w:hAnsi="Calibri"/>
                <w:color w:val="C00000"/>
                <w:sz w:val="18"/>
              </w:rPr>
              <w:t>Manual pick list</w:t>
              <w:br/>
              <w:t>25 min avg</w:t>
            </w:r>
          </w:p>
        </w:tc>
        <w:tc>
          <w:tcPr>
            <w:tcW w:type="dxa" w:w="2351"/>
            <w:shd w:val="clear" w:color="auto" w:fill="F0FFF0"/>
          </w:tcPr>
          <w:p>
            <w:pPr>
              <w:jc w:val="center"/>
            </w:pPr>
            <w:r>
              <w:rPr>
                <w:rFonts w:ascii="Calibri" w:hAnsi="Calibri"/>
                <w:color w:val="70AD47"/>
                <w:sz w:val="18"/>
              </w:rPr>
              <w:t>WMS auto-trigger</w:t>
              <w:br/>
              <w:t>&lt; 2 min</w:t>
            </w:r>
          </w:p>
        </w:tc>
        <w:tc>
          <w:tcPr>
            <w:tcW w:type="dxa" w:w="2351"/>
            <w:shd w:val="clear" w:color="auto" w:fill="FFFFF0"/>
          </w:tcPr>
          <w:p>
            <w:pPr>
              <w:jc w:val="center"/>
            </w:pPr>
            <w:r>
              <w:rPr>
                <w:rFonts w:ascii="Calibri" w:hAnsi="Calibri"/>
                <w:color w:val="FFC000"/>
                <w:sz w:val="18"/>
              </w:rPr>
              <w:t>-92% time</w:t>
            </w:r>
          </w:p>
        </w:tc>
      </w:tr>
      <w:tr>
        <w:tc>
          <w:tcPr>
            <w:tcW w:type="dxa" w:w="2351"/>
            <w:shd w:val="clear" w:color="auto" w:fill="F2F2F2"/>
          </w:tcPr>
          <w:p>
            <w:pPr>
              <w:jc w:val="center"/>
            </w:pPr>
            <w:r>
              <w:rPr>
                <w:rFonts w:ascii="Calibri" w:hAnsi="Calibri"/>
                <w:color w:val="1F3864"/>
                <w:sz w:val="18"/>
              </w:rPr>
              <w:t>TOTAL LEAD TIME</w:t>
            </w:r>
          </w:p>
        </w:tc>
        <w:tc>
          <w:tcPr>
            <w:tcW w:type="dxa" w:w="2351"/>
            <w:shd w:val="clear" w:color="auto" w:fill="FFF0F0"/>
          </w:tcPr>
          <w:p>
            <w:pPr>
              <w:jc w:val="center"/>
            </w:pPr>
            <w:r>
              <w:rPr>
                <w:rFonts w:ascii="Calibri" w:hAnsi="Calibri"/>
                <w:color w:val="C00000"/>
                <w:sz w:val="18"/>
              </w:rPr>
              <w:t>~100–145 min</w:t>
            </w:r>
          </w:p>
        </w:tc>
        <w:tc>
          <w:tcPr>
            <w:tcW w:type="dxa" w:w="2351"/>
            <w:shd w:val="clear" w:color="auto" w:fill="F0FFF0"/>
          </w:tcPr>
          <w:p>
            <w:pPr>
              <w:jc w:val="center"/>
            </w:pPr>
            <w:r>
              <w:rPr>
                <w:rFonts w:ascii="Calibri" w:hAnsi="Calibri"/>
                <w:color w:val="70AD47"/>
                <w:sz w:val="18"/>
              </w:rPr>
              <w:t>~15–22 min</w:t>
            </w:r>
          </w:p>
        </w:tc>
        <w:tc>
          <w:tcPr>
            <w:tcW w:type="dxa" w:w="2351"/>
            <w:shd w:val="clear" w:color="auto" w:fill="FFFFF0"/>
          </w:tcPr>
          <w:p>
            <w:pPr>
              <w:jc w:val="center"/>
            </w:pPr>
            <w:r>
              <w:rPr>
                <w:rFonts w:ascii="Calibri" w:hAnsi="Calibri"/>
                <w:color w:val="FFC000"/>
                <w:sz w:val="18"/>
              </w:rPr>
              <w:t>-82% average</w:t>
            </w:r>
          </w:p>
        </w:tc>
      </w:tr>
    </w:tbl>
    <w:p>
      <w:r>
        <w:br w:type="page"/>
      </w:r>
    </w:p>
    <w:p>
      <w:pPr>
        <w:spacing w:before="240" w:after="80"/>
        <w:jc w:val="left"/>
      </w:pPr>
      <w:r>
        <w:rPr>
          <w:rFonts w:ascii="Calibri" w:hAnsi="Calibri"/>
          <w:b/>
          <w:color w:val="1F3864"/>
          <w:sz w:val="36"/>
        </w:rPr>
        <w:t>6.  AUTOMATION OPPORTUNITIES</w:t>
      </w:r>
    </w:p>
    <w:p>
      <w:pPr>
        <w:spacing w:before="80" w:after="80"/>
        <w:pBdr>
          <w:bottom w:val="single" w:sz="6" w:space="1" w:color="2E75B6"/>
        </w:pBdr>
      </w:pPr>
    </w:p>
    <w:p>
      <w:pPr>
        <w:spacing w:before="60" w:after="60" w:line="360" w:lineRule="auto"/>
        <w:jc w:val="both"/>
      </w:pPr>
      <w:r>
        <w:rPr>
          <w:rFonts w:ascii="Calibri" w:hAnsi="Calibri"/>
          <w:b w:val="0"/>
          <w:i w:val="0"/>
          <w:color w:val="595959"/>
          <w:sz w:val="21"/>
        </w:rPr>
        <w:t>The following automation technologies are recommended based on the organization's current maturity level, budget constraints, and implementation risk profile. Technologies are prioritized by impact-to-effort ratio and sequenced in the implementation roadmap.</w:t>
      </w:r>
    </w:p>
    <w:p>
      <w:pPr>
        <w:spacing w:before="160" w:after="60"/>
      </w:pPr>
      <w:r>
        <w:rPr>
          <w:rFonts w:ascii="Calibri" w:hAnsi="Calibri"/>
          <w:b/>
          <w:color w:val="1F3864"/>
          <w:sz w:val="26"/>
        </w:rPr>
        <w:t>High Priority</w:t>
      </w:r>
    </w:p>
    <w:tbl>
      <w:tblPr>
        <w:tblStyle w:val="TableGrid"/>
        <w:tblW w:type="auto" w:w="0"/>
        <w:jc w:val="center"/>
        <w:tblLook w:firstColumn="1" w:firstRow="1" w:lastColumn="0" w:lastRow="0" w:noHBand="0" w:noVBand="1" w:val="04A0"/>
      </w:tblPr>
      <w:tblGrid>
        <w:gridCol w:w="2304"/>
        <w:gridCol w:w="3168"/>
        <w:gridCol w:w="4608"/>
      </w:tblGrid>
      <w:tr>
        <w:tc>
          <w:tcPr>
            <w:tcW w:type="dxa" w:w="3135"/>
            <w:shd w:val="clear" w:color="auto" w:fill="1F3864"/>
          </w:tcPr>
          <w:p>
            <w:pPr>
              <w:jc w:val="center"/>
            </w:pPr>
            <w:r>
              <w:rPr>
                <w:rFonts w:ascii="Calibri" w:hAnsi="Calibri"/>
                <w:b/>
                <w:color w:val="FFFFFF"/>
                <w:sz w:val="19"/>
              </w:rPr>
              <w:t>Technology</w:t>
            </w:r>
          </w:p>
        </w:tc>
        <w:tc>
          <w:tcPr>
            <w:tcW w:type="dxa" w:w="3135"/>
            <w:shd w:val="clear" w:color="auto" w:fill="1F3864"/>
          </w:tcPr>
          <w:p>
            <w:pPr>
              <w:jc w:val="center"/>
            </w:pPr>
            <w:r>
              <w:rPr>
                <w:rFonts w:ascii="Calibri" w:hAnsi="Calibri"/>
                <w:b/>
                <w:color w:val="FFFFFF"/>
                <w:sz w:val="19"/>
              </w:rPr>
              <w:t>Tool/Platform</w:t>
            </w:r>
          </w:p>
        </w:tc>
        <w:tc>
          <w:tcPr>
            <w:tcW w:type="dxa" w:w="3135"/>
            <w:shd w:val="clear" w:color="auto" w:fill="1F3864"/>
          </w:tcPr>
          <w:p>
            <w:pPr>
              <w:jc w:val="center"/>
            </w:pPr>
            <w:r>
              <w:rPr>
                <w:rFonts w:ascii="Calibri" w:hAnsi="Calibri"/>
                <w:b/>
                <w:color w:val="FFFFFF"/>
                <w:sz w:val="19"/>
              </w:rPr>
              <w:t>Business Value</w:t>
            </w:r>
          </w:p>
        </w:tc>
      </w:tr>
      <w:tr>
        <w:tc>
          <w:tcPr>
            <w:tcW w:type="dxa" w:w="3135"/>
            <w:shd w:val="clear" w:color="auto" w:fill="EBF3FB"/>
          </w:tcPr>
          <w:p>
            <w:r>
              <w:rPr>
                <w:rFonts w:ascii="Calibri" w:hAnsi="Calibri"/>
                <w:color w:val="1F3864"/>
                <w:sz w:val="18"/>
              </w:rPr>
              <w:t>Digital Order Portal</w:t>
            </w:r>
          </w:p>
        </w:tc>
        <w:tc>
          <w:tcPr>
            <w:tcW w:type="dxa" w:w="3135"/>
            <w:shd w:val="clear" w:color="auto" w:fill="EBF3FB"/>
          </w:tcPr>
          <w:p>
            <w:r>
              <w:rPr>
                <w:rFonts w:ascii="Calibri" w:hAnsi="Calibri"/>
                <w:color w:val="595959"/>
                <w:sz w:val="18"/>
              </w:rPr>
              <w:t>SaaS B2B portal (e.g., TradeGecko, Cin7, or custom)</w:t>
            </w:r>
          </w:p>
        </w:tc>
        <w:tc>
          <w:tcPr>
            <w:tcW w:type="dxa" w:w="3135"/>
            <w:shd w:val="clear" w:color="auto" w:fill="EBF3FB"/>
          </w:tcPr>
          <w:p>
            <w:r>
              <w:rPr>
                <w:rFonts w:ascii="Calibri" w:hAnsi="Calibri"/>
                <w:color w:val="70AD47"/>
                <w:sz w:val="18"/>
              </w:rPr>
              <w:t>Eliminates email/phone order capture → removes largest single source of errors</w:t>
            </w:r>
          </w:p>
        </w:tc>
      </w:tr>
      <w:tr>
        <w:tc>
          <w:tcPr>
            <w:tcW w:type="dxa" w:w="3135"/>
            <w:shd w:val="clear" w:color="auto" w:fill="FFFFFF"/>
          </w:tcPr>
          <w:p>
            <w:r>
              <w:rPr>
                <w:rFonts w:ascii="Calibri" w:hAnsi="Calibri"/>
                <w:color w:val="1F3864"/>
                <w:sz w:val="18"/>
              </w:rPr>
              <w:t>ERP / WMS API Integration</w:t>
            </w:r>
          </w:p>
        </w:tc>
        <w:tc>
          <w:tcPr>
            <w:tcW w:type="dxa" w:w="3135"/>
            <w:shd w:val="clear" w:color="auto" w:fill="FFFFFF"/>
          </w:tcPr>
          <w:p>
            <w:r>
              <w:rPr>
                <w:rFonts w:ascii="Calibri" w:hAnsi="Calibri"/>
                <w:color w:val="595959"/>
                <w:sz w:val="18"/>
              </w:rPr>
              <w:t>REST API connection between OMS and existing ERP</w:t>
            </w:r>
          </w:p>
        </w:tc>
        <w:tc>
          <w:tcPr>
            <w:tcW w:type="dxa" w:w="3135"/>
            <w:shd w:val="clear" w:color="auto" w:fill="FFFFFF"/>
          </w:tcPr>
          <w:p>
            <w:r>
              <w:rPr>
                <w:rFonts w:ascii="Calibri" w:hAnsi="Calibri"/>
                <w:color w:val="70AD47"/>
                <w:sz w:val="18"/>
              </w:rPr>
              <w:t>Real-time stock visibility eliminates 100% of manual stock check steps</w:t>
            </w:r>
          </w:p>
        </w:tc>
      </w:tr>
      <w:tr>
        <w:tc>
          <w:tcPr>
            <w:tcW w:type="dxa" w:w="3135"/>
            <w:shd w:val="clear" w:color="auto" w:fill="EBF3FB"/>
          </w:tcPr>
          <w:p>
            <w:r>
              <w:rPr>
                <w:rFonts w:ascii="Calibri" w:hAnsi="Calibri"/>
                <w:color w:val="1F3864"/>
                <w:sz w:val="18"/>
              </w:rPr>
              <w:t>Automated Document Gen.</w:t>
            </w:r>
          </w:p>
        </w:tc>
        <w:tc>
          <w:tcPr>
            <w:tcW w:type="dxa" w:w="3135"/>
            <w:shd w:val="clear" w:color="auto" w:fill="EBF3FB"/>
          </w:tcPr>
          <w:p>
            <w:r>
              <w:rPr>
                <w:rFonts w:ascii="Calibri" w:hAnsi="Calibri"/>
                <w:color w:val="595959"/>
                <w:sz w:val="18"/>
              </w:rPr>
              <w:t>Template engine within OMS for invoices &amp; confirmations</w:t>
            </w:r>
          </w:p>
        </w:tc>
        <w:tc>
          <w:tcPr>
            <w:tcW w:type="dxa" w:w="3135"/>
            <w:shd w:val="clear" w:color="auto" w:fill="EBF3FB"/>
          </w:tcPr>
          <w:p>
            <w:r>
              <w:rPr>
                <w:rFonts w:ascii="Calibri" w:hAnsi="Calibri"/>
                <w:color w:val="70AD47"/>
                <w:sz w:val="18"/>
              </w:rPr>
              <w:t>Eliminates 3× data re-entry; invoices generated in &lt; 10 seconds</w:t>
            </w:r>
          </w:p>
        </w:tc>
      </w:tr>
      <w:tr>
        <w:tc>
          <w:tcPr>
            <w:tcW w:type="dxa" w:w="3135"/>
            <w:shd w:val="clear" w:color="auto" w:fill="FFFFFF"/>
          </w:tcPr>
          <w:p>
            <w:r>
              <w:rPr>
                <w:rFonts w:ascii="Calibri" w:hAnsi="Calibri"/>
                <w:color w:val="1F3864"/>
                <w:sz w:val="18"/>
              </w:rPr>
              <w:t>WhatsApp Business API</w:t>
            </w:r>
          </w:p>
        </w:tc>
        <w:tc>
          <w:tcPr>
            <w:tcW w:type="dxa" w:w="3135"/>
            <w:shd w:val="clear" w:color="auto" w:fill="FFFFFF"/>
          </w:tcPr>
          <w:p>
            <w:r>
              <w:rPr>
                <w:rFonts w:ascii="Calibri" w:hAnsi="Calibri"/>
                <w:color w:val="595959"/>
                <w:sz w:val="18"/>
              </w:rPr>
              <w:t>Conversational ordering via WhatsApp with catalog display</w:t>
            </w:r>
          </w:p>
        </w:tc>
        <w:tc>
          <w:tcPr>
            <w:tcW w:type="dxa" w:w="3135"/>
            <w:shd w:val="clear" w:color="auto" w:fill="FFFFFF"/>
          </w:tcPr>
          <w:p>
            <w:r>
              <w:rPr>
                <w:rFonts w:ascii="Calibri" w:hAnsi="Calibri"/>
                <w:color w:val="70AD47"/>
                <w:sz w:val="18"/>
              </w:rPr>
              <w:t>Serves 20% of customers in their preferred channel; auto-validates orders</w:t>
            </w:r>
          </w:p>
        </w:tc>
      </w:tr>
    </w:tbl>
    <w:p/>
    <w:p>
      <w:pPr>
        <w:spacing w:before="160" w:after="60"/>
      </w:pPr>
      <w:r>
        <w:rPr>
          <w:rFonts w:ascii="Calibri" w:hAnsi="Calibri"/>
          <w:b/>
          <w:color w:val="2E75B6"/>
          <w:sz w:val="26"/>
        </w:rPr>
        <w:t>Medium Priority</w:t>
      </w:r>
    </w:p>
    <w:tbl>
      <w:tblPr>
        <w:tblStyle w:val="TableGrid"/>
        <w:tblW w:type="auto" w:w="0"/>
        <w:jc w:val="center"/>
        <w:tblLook w:firstColumn="1" w:firstRow="1" w:lastColumn="0" w:lastRow="0" w:noHBand="0" w:noVBand="1" w:val="04A0"/>
      </w:tblPr>
      <w:tblGrid>
        <w:gridCol w:w="2304"/>
        <w:gridCol w:w="3168"/>
        <w:gridCol w:w="4608"/>
      </w:tblGrid>
      <w:tr>
        <w:tc>
          <w:tcPr>
            <w:tcW w:type="dxa" w:w="3135"/>
            <w:shd w:val="clear" w:color="auto" w:fill="2E75B6"/>
          </w:tcPr>
          <w:p>
            <w:pPr>
              <w:jc w:val="center"/>
            </w:pPr>
            <w:r>
              <w:rPr>
                <w:rFonts w:ascii="Calibri" w:hAnsi="Calibri"/>
                <w:b/>
                <w:color w:val="FFFFFF"/>
                <w:sz w:val="19"/>
              </w:rPr>
              <w:t>Technology</w:t>
            </w:r>
          </w:p>
        </w:tc>
        <w:tc>
          <w:tcPr>
            <w:tcW w:type="dxa" w:w="3135"/>
            <w:shd w:val="clear" w:color="auto" w:fill="2E75B6"/>
          </w:tcPr>
          <w:p>
            <w:pPr>
              <w:jc w:val="center"/>
            </w:pPr>
            <w:r>
              <w:rPr>
                <w:rFonts w:ascii="Calibri" w:hAnsi="Calibri"/>
                <w:b/>
                <w:color w:val="FFFFFF"/>
                <w:sz w:val="19"/>
              </w:rPr>
              <w:t>Tool/Platform</w:t>
            </w:r>
          </w:p>
        </w:tc>
        <w:tc>
          <w:tcPr>
            <w:tcW w:type="dxa" w:w="3135"/>
            <w:shd w:val="clear" w:color="auto" w:fill="2E75B6"/>
          </w:tcPr>
          <w:p>
            <w:pPr>
              <w:jc w:val="center"/>
            </w:pPr>
            <w:r>
              <w:rPr>
                <w:rFonts w:ascii="Calibri" w:hAnsi="Calibri"/>
                <w:b/>
                <w:color w:val="FFFFFF"/>
                <w:sz w:val="19"/>
              </w:rPr>
              <w:t>Business Value</w:t>
            </w:r>
          </w:p>
        </w:tc>
      </w:tr>
      <w:tr>
        <w:tc>
          <w:tcPr>
            <w:tcW w:type="dxa" w:w="3135"/>
            <w:shd w:val="clear" w:color="auto" w:fill="EBF3FB"/>
          </w:tcPr>
          <w:p>
            <w:r>
              <w:rPr>
                <w:rFonts w:ascii="Calibri" w:hAnsi="Calibri"/>
                <w:color w:val="1F3864"/>
                <w:sz w:val="18"/>
              </w:rPr>
              <w:t>OMS Dashboard &amp; Alerts</w:t>
            </w:r>
          </w:p>
        </w:tc>
        <w:tc>
          <w:tcPr>
            <w:tcW w:type="dxa" w:w="3135"/>
            <w:shd w:val="clear" w:color="auto" w:fill="EBF3FB"/>
          </w:tcPr>
          <w:p>
            <w:r>
              <w:rPr>
                <w:rFonts w:ascii="Calibri" w:hAnsi="Calibri"/>
                <w:color w:val="595959"/>
                <w:sz w:val="18"/>
              </w:rPr>
              <w:t>Real-time operational KPI dashboard for management</w:t>
            </w:r>
          </w:p>
        </w:tc>
        <w:tc>
          <w:tcPr>
            <w:tcW w:type="dxa" w:w="3135"/>
            <w:shd w:val="clear" w:color="auto" w:fill="EBF3FB"/>
          </w:tcPr>
          <w:p>
            <w:r>
              <w:rPr>
                <w:rFonts w:ascii="Calibri" w:hAnsi="Calibri"/>
                <w:color w:val="70AD47"/>
                <w:sz w:val="18"/>
              </w:rPr>
              <w:t>Enables data-driven decisions; SLA breach alerts to supervisors</w:t>
            </w:r>
          </w:p>
        </w:tc>
      </w:tr>
      <w:tr>
        <w:tc>
          <w:tcPr>
            <w:tcW w:type="dxa" w:w="3135"/>
            <w:shd w:val="clear" w:color="auto" w:fill="FFFFFF"/>
          </w:tcPr>
          <w:p>
            <w:r>
              <w:rPr>
                <w:rFonts w:ascii="Calibri" w:hAnsi="Calibri"/>
                <w:color w:val="1F3864"/>
                <w:sz w:val="18"/>
              </w:rPr>
              <w:t>Customer Status Tracking</w:t>
            </w:r>
          </w:p>
        </w:tc>
        <w:tc>
          <w:tcPr>
            <w:tcW w:type="dxa" w:w="3135"/>
            <w:shd w:val="clear" w:color="auto" w:fill="FFFFFF"/>
          </w:tcPr>
          <w:p>
            <w:r>
              <w:rPr>
                <w:rFonts w:ascii="Calibri" w:hAnsi="Calibri"/>
                <w:color w:val="595959"/>
                <w:sz w:val="18"/>
              </w:rPr>
              <w:t>Branded tracking portal + automated SMS/email updates</w:t>
            </w:r>
          </w:p>
        </w:tc>
        <w:tc>
          <w:tcPr>
            <w:tcW w:type="dxa" w:w="3135"/>
            <w:shd w:val="clear" w:color="auto" w:fill="FFFFFF"/>
          </w:tcPr>
          <w:p>
            <w:r>
              <w:rPr>
                <w:rFonts w:ascii="Calibri" w:hAnsi="Calibri"/>
                <w:color w:val="70AD47"/>
                <w:sz w:val="18"/>
              </w:rPr>
              <w:t>Reduces inbound customer status calls by an estimated 60–70%</w:t>
            </w:r>
          </w:p>
        </w:tc>
      </w:tr>
      <w:tr>
        <w:tc>
          <w:tcPr>
            <w:tcW w:type="dxa" w:w="3135"/>
            <w:shd w:val="clear" w:color="auto" w:fill="EBF3FB"/>
          </w:tcPr>
          <w:p>
            <w:r>
              <w:rPr>
                <w:rFonts w:ascii="Calibri" w:hAnsi="Calibri"/>
                <w:color w:val="1F3864"/>
                <w:sz w:val="18"/>
              </w:rPr>
              <w:t>Credit Limit Automation</w:t>
            </w:r>
          </w:p>
        </w:tc>
        <w:tc>
          <w:tcPr>
            <w:tcW w:type="dxa" w:w="3135"/>
            <w:shd w:val="clear" w:color="auto" w:fill="EBF3FB"/>
          </w:tcPr>
          <w:p>
            <w:r>
              <w:rPr>
                <w:rFonts w:ascii="Calibri" w:hAnsi="Calibri"/>
                <w:color w:val="595959"/>
                <w:sz w:val="18"/>
              </w:rPr>
              <w:t>Automated credit check integrated with AR module</w:t>
            </w:r>
          </w:p>
        </w:tc>
        <w:tc>
          <w:tcPr>
            <w:tcW w:type="dxa" w:w="3135"/>
            <w:shd w:val="clear" w:color="auto" w:fill="EBF3FB"/>
          </w:tcPr>
          <w:p>
            <w:r>
              <w:rPr>
                <w:rFonts w:ascii="Calibri" w:hAnsi="Calibri"/>
                <w:color w:val="70AD47"/>
                <w:sz w:val="18"/>
              </w:rPr>
              <w:t>Removes manual credit approval step; enforces policy consistently</w:t>
            </w:r>
          </w:p>
        </w:tc>
      </w:tr>
    </w:tbl>
    <w:p/>
    <w:p>
      <w:pPr>
        <w:spacing w:before="160" w:after="60"/>
      </w:pPr>
      <w:r>
        <w:rPr>
          <w:rFonts w:ascii="Calibri" w:hAnsi="Calibri"/>
          <w:b/>
          <w:color w:val="595959"/>
          <w:sz w:val="26"/>
        </w:rPr>
        <w:t>Lower Priority (Phase 3)</w:t>
      </w:r>
    </w:p>
    <w:tbl>
      <w:tblPr>
        <w:tblStyle w:val="TableGrid"/>
        <w:tblW w:type="auto" w:w="0"/>
        <w:jc w:val="center"/>
        <w:tblLook w:firstColumn="1" w:firstRow="1" w:lastColumn="0" w:lastRow="0" w:noHBand="0" w:noVBand="1" w:val="04A0"/>
      </w:tblPr>
      <w:tblGrid>
        <w:gridCol w:w="2304"/>
        <w:gridCol w:w="3168"/>
        <w:gridCol w:w="4608"/>
      </w:tblGrid>
      <w:tr>
        <w:tc>
          <w:tcPr>
            <w:tcW w:type="dxa" w:w="3135"/>
            <w:shd w:val="clear" w:color="auto" w:fill="595959"/>
          </w:tcPr>
          <w:p>
            <w:pPr>
              <w:jc w:val="center"/>
            </w:pPr>
            <w:r>
              <w:rPr>
                <w:rFonts w:ascii="Calibri" w:hAnsi="Calibri"/>
                <w:b/>
                <w:color w:val="FFFFFF"/>
                <w:sz w:val="19"/>
              </w:rPr>
              <w:t>Technology</w:t>
            </w:r>
          </w:p>
        </w:tc>
        <w:tc>
          <w:tcPr>
            <w:tcW w:type="dxa" w:w="3135"/>
            <w:shd w:val="clear" w:color="auto" w:fill="595959"/>
          </w:tcPr>
          <w:p>
            <w:pPr>
              <w:jc w:val="center"/>
            </w:pPr>
            <w:r>
              <w:rPr>
                <w:rFonts w:ascii="Calibri" w:hAnsi="Calibri"/>
                <w:b/>
                <w:color w:val="FFFFFF"/>
                <w:sz w:val="19"/>
              </w:rPr>
              <w:t>Tool/Platform</w:t>
            </w:r>
          </w:p>
        </w:tc>
        <w:tc>
          <w:tcPr>
            <w:tcW w:type="dxa" w:w="3135"/>
            <w:shd w:val="clear" w:color="auto" w:fill="595959"/>
          </w:tcPr>
          <w:p>
            <w:pPr>
              <w:jc w:val="center"/>
            </w:pPr>
            <w:r>
              <w:rPr>
                <w:rFonts w:ascii="Calibri" w:hAnsi="Calibri"/>
                <w:b/>
                <w:color w:val="FFFFFF"/>
                <w:sz w:val="19"/>
              </w:rPr>
              <w:t>Business Value</w:t>
            </w:r>
          </w:p>
        </w:tc>
      </w:tr>
      <w:tr>
        <w:tc>
          <w:tcPr>
            <w:tcW w:type="dxa" w:w="3135"/>
            <w:shd w:val="clear" w:color="auto" w:fill="EBF3FB"/>
          </w:tcPr>
          <w:p>
            <w:r>
              <w:rPr>
                <w:rFonts w:ascii="Calibri" w:hAnsi="Calibri"/>
                <w:color w:val="1F3864"/>
                <w:sz w:val="18"/>
              </w:rPr>
              <w:t>Demand Forecasting Module</w:t>
            </w:r>
          </w:p>
        </w:tc>
        <w:tc>
          <w:tcPr>
            <w:tcW w:type="dxa" w:w="3135"/>
            <w:shd w:val="clear" w:color="auto" w:fill="EBF3FB"/>
          </w:tcPr>
          <w:p>
            <w:r>
              <w:rPr>
                <w:rFonts w:ascii="Calibri" w:hAnsi="Calibri"/>
                <w:color w:val="595959"/>
                <w:sz w:val="18"/>
              </w:rPr>
              <w:t>ML-based demand forecast integrated with inventory</w:t>
            </w:r>
          </w:p>
        </w:tc>
        <w:tc>
          <w:tcPr>
            <w:tcW w:type="dxa" w:w="3135"/>
            <w:shd w:val="clear" w:color="auto" w:fill="EBF3FB"/>
          </w:tcPr>
          <w:p>
            <w:r>
              <w:rPr>
                <w:rFonts w:ascii="Calibri" w:hAnsi="Calibri"/>
                <w:color w:val="70AD47"/>
                <w:sz w:val="18"/>
              </w:rPr>
              <w:t>Enables proactive stock management; reduces stockout-driven cancellations</w:t>
            </w:r>
          </w:p>
        </w:tc>
      </w:tr>
      <w:tr>
        <w:tc>
          <w:tcPr>
            <w:tcW w:type="dxa" w:w="3135"/>
            <w:shd w:val="clear" w:color="auto" w:fill="FFFFFF"/>
          </w:tcPr>
          <w:p>
            <w:r>
              <w:rPr>
                <w:rFonts w:ascii="Calibri" w:hAnsi="Calibri"/>
                <w:color w:val="1F3864"/>
                <w:sz w:val="18"/>
              </w:rPr>
              <w:t>EDI Integration</w:t>
            </w:r>
          </w:p>
        </w:tc>
        <w:tc>
          <w:tcPr>
            <w:tcW w:type="dxa" w:w="3135"/>
            <w:shd w:val="clear" w:color="auto" w:fill="FFFFFF"/>
          </w:tcPr>
          <w:p>
            <w:r>
              <w:rPr>
                <w:rFonts w:ascii="Calibri" w:hAnsi="Calibri"/>
                <w:color w:val="595959"/>
                <w:sz w:val="18"/>
              </w:rPr>
              <w:t>Electronic Data Interchange for large wholesale accounts</w:t>
            </w:r>
          </w:p>
        </w:tc>
        <w:tc>
          <w:tcPr>
            <w:tcW w:type="dxa" w:w="3135"/>
            <w:shd w:val="clear" w:color="auto" w:fill="FFFFFF"/>
          </w:tcPr>
          <w:p>
            <w:r>
              <w:rPr>
                <w:rFonts w:ascii="Calibri" w:hAnsi="Calibri"/>
                <w:color w:val="70AD47"/>
                <w:sz w:val="18"/>
              </w:rPr>
              <w:t>Enables fully automated order receipt from key accounts</w:t>
            </w:r>
          </w:p>
        </w:tc>
      </w:tr>
      <w:tr>
        <w:tc>
          <w:tcPr>
            <w:tcW w:type="dxa" w:w="3135"/>
            <w:shd w:val="clear" w:color="auto" w:fill="EBF3FB"/>
          </w:tcPr>
          <w:p>
            <w:r>
              <w:rPr>
                <w:rFonts w:ascii="Calibri" w:hAnsi="Calibri"/>
                <w:color w:val="1F3864"/>
                <w:sz w:val="18"/>
              </w:rPr>
              <w:t>NPS &amp; Feedback Automation</w:t>
            </w:r>
          </w:p>
        </w:tc>
        <w:tc>
          <w:tcPr>
            <w:tcW w:type="dxa" w:w="3135"/>
            <w:shd w:val="clear" w:color="auto" w:fill="EBF3FB"/>
          </w:tcPr>
          <w:p>
            <w:r>
              <w:rPr>
                <w:rFonts w:ascii="Calibri" w:hAnsi="Calibri"/>
                <w:color w:val="595959"/>
                <w:sz w:val="18"/>
              </w:rPr>
              <w:t>Post-delivery NPS survey triggered automatically</w:t>
            </w:r>
          </w:p>
        </w:tc>
        <w:tc>
          <w:tcPr>
            <w:tcW w:type="dxa" w:w="3135"/>
            <w:shd w:val="clear" w:color="auto" w:fill="EBF3FB"/>
          </w:tcPr>
          <w:p>
            <w:r>
              <w:rPr>
                <w:rFonts w:ascii="Calibri" w:hAnsi="Calibri"/>
                <w:color w:val="70AD47"/>
                <w:sz w:val="18"/>
              </w:rPr>
              <w:t>Captures customer satisfaction data systematically for service improvement</w:t>
            </w:r>
          </w:p>
        </w:tc>
      </w:tr>
    </w:tbl>
    <w:p/>
    <w:p>
      <w:r>
        <w:br w:type="page"/>
      </w:r>
    </w:p>
    <w:p>
      <w:pPr>
        <w:spacing w:before="240" w:after="80"/>
        <w:jc w:val="left"/>
      </w:pPr>
      <w:r>
        <w:rPr>
          <w:rFonts w:ascii="Calibri" w:hAnsi="Calibri"/>
          <w:b/>
          <w:color w:val="1F3864"/>
          <w:sz w:val="36"/>
        </w:rPr>
        <w:t>7.  QUANTIFIED IMPACT  &amp;  BUSINESS CASE</w:t>
      </w:r>
    </w:p>
    <w:p>
      <w:pPr>
        <w:spacing w:before="80" w:after="80"/>
        <w:pBdr>
          <w:bottom w:val="single" w:sz="6" w:space="1" w:color="2E75B6"/>
        </w:pBdr>
      </w:pPr>
    </w:p>
    <w:p>
      <w:pPr>
        <w:spacing w:before="160" w:after="60"/>
      </w:pPr>
      <w:r>
        <w:rPr>
          <w:rFonts w:ascii="Calibri" w:hAnsi="Calibri"/>
          <w:b/>
          <w:color w:val="2E75B6"/>
          <w:sz w:val="26"/>
        </w:rPr>
        <w:t>Operational Impact Projections</w:t>
      </w:r>
    </w:p>
    <w:tbl>
      <w:tblPr>
        <w:tblStyle w:val="TableGrid"/>
        <w:tblW w:type="auto" w:w="0"/>
        <w:jc w:val="center"/>
        <w:tblLook w:firstColumn="1" w:firstRow="1" w:lastColumn="0" w:lastRow="0" w:noHBand="0" w:noVBand="1" w:val="04A0"/>
      </w:tblPr>
      <w:tblGrid>
        <w:gridCol w:w="2880"/>
        <w:gridCol w:w="1728"/>
        <w:gridCol w:w="2016"/>
        <w:gridCol w:w="1584"/>
        <w:gridCol w:w="1440"/>
      </w:tblGrid>
      <w:tr>
        <w:tc>
          <w:tcPr>
            <w:tcW w:type="dxa" w:w="1881"/>
            <w:shd w:val="clear" w:color="auto" w:fill="1F3864"/>
          </w:tcPr>
          <w:p>
            <w:pPr>
              <w:jc w:val="center"/>
            </w:pPr>
            <w:r>
              <w:rPr>
                <w:rFonts w:ascii="Calibri" w:hAnsi="Calibri"/>
                <w:b/>
                <w:color w:val="FFFFFF"/>
                <w:sz w:val="19"/>
              </w:rPr>
              <w:t>KPI</w:t>
            </w:r>
          </w:p>
        </w:tc>
        <w:tc>
          <w:tcPr>
            <w:tcW w:type="dxa" w:w="1881"/>
            <w:shd w:val="clear" w:color="auto" w:fill="1F3864"/>
          </w:tcPr>
          <w:p>
            <w:pPr>
              <w:jc w:val="center"/>
            </w:pPr>
            <w:r>
              <w:rPr>
                <w:rFonts w:ascii="Calibri" w:hAnsi="Calibri"/>
                <w:b/>
                <w:color w:val="FFFFFF"/>
                <w:sz w:val="19"/>
              </w:rPr>
              <w:t>Baseline</w:t>
            </w:r>
          </w:p>
        </w:tc>
        <w:tc>
          <w:tcPr>
            <w:tcW w:type="dxa" w:w="1881"/>
            <w:shd w:val="clear" w:color="auto" w:fill="1F3864"/>
          </w:tcPr>
          <w:p>
            <w:pPr>
              <w:jc w:val="center"/>
            </w:pPr>
            <w:r>
              <w:rPr>
                <w:rFonts w:ascii="Calibri" w:hAnsi="Calibri"/>
                <w:b/>
                <w:color w:val="FFFFFF"/>
                <w:sz w:val="19"/>
              </w:rPr>
              <w:t>Target</w:t>
            </w:r>
          </w:p>
        </w:tc>
        <w:tc>
          <w:tcPr>
            <w:tcW w:type="dxa" w:w="1881"/>
            <w:shd w:val="clear" w:color="auto" w:fill="1F3864"/>
          </w:tcPr>
          <w:p>
            <w:pPr>
              <w:jc w:val="center"/>
            </w:pPr>
            <w:r>
              <w:rPr>
                <w:rFonts w:ascii="Calibri" w:hAnsi="Calibri"/>
                <w:b/>
                <w:color w:val="FFFFFF"/>
                <w:sz w:val="19"/>
              </w:rPr>
              <w:t>Δ Change</w:t>
            </w:r>
          </w:p>
        </w:tc>
        <w:tc>
          <w:tcPr>
            <w:tcW w:type="dxa" w:w="1881"/>
            <w:shd w:val="clear" w:color="auto" w:fill="1F3864"/>
          </w:tcPr>
          <w:p>
            <w:pPr>
              <w:jc w:val="center"/>
            </w:pPr>
            <w:r>
              <w:rPr>
                <w:rFonts w:ascii="Calibri" w:hAnsi="Calibri"/>
                <w:b/>
                <w:color w:val="FFFFFF"/>
                <w:sz w:val="19"/>
              </w:rPr>
              <w:t>Confidence</w:t>
            </w:r>
          </w:p>
        </w:tc>
      </w:tr>
      <w:tr>
        <w:tc>
          <w:tcPr>
            <w:tcW w:type="dxa" w:w="1881"/>
            <w:shd w:val="clear" w:color="auto" w:fill="EBF3FB"/>
          </w:tcPr>
          <w:p>
            <w:pPr>
              <w:jc w:val="center"/>
            </w:pPr>
            <w:r>
              <w:rPr>
                <w:rFonts w:ascii="Calibri" w:hAnsi="Calibri"/>
                <w:color w:val="1F3864"/>
                <w:sz w:val="18"/>
              </w:rPr>
              <w:t>Average Lead Time</w:t>
            </w:r>
          </w:p>
        </w:tc>
        <w:tc>
          <w:tcPr>
            <w:tcW w:type="dxa" w:w="1881"/>
            <w:shd w:val="clear" w:color="auto" w:fill="EBF3FB"/>
          </w:tcPr>
          <w:p>
            <w:pPr>
              <w:jc w:val="center"/>
            </w:pPr>
            <w:r>
              <w:rPr>
                <w:rFonts w:ascii="Calibri" w:hAnsi="Calibri"/>
                <w:color w:val="C00000"/>
                <w:sz w:val="18"/>
              </w:rPr>
              <w:t>~109 min</w:t>
            </w:r>
          </w:p>
        </w:tc>
        <w:tc>
          <w:tcPr>
            <w:tcW w:type="dxa" w:w="1881"/>
            <w:shd w:val="clear" w:color="auto" w:fill="EBF3FB"/>
          </w:tcPr>
          <w:p>
            <w:pPr>
              <w:jc w:val="center"/>
            </w:pPr>
            <w:r>
              <w:rPr>
                <w:rFonts w:ascii="Calibri" w:hAnsi="Calibri"/>
                <w:color w:val="70AD47"/>
                <w:sz w:val="18"/>
              </w:rPr>
              <w:t>~18 min</w:t>
            </w:r>
          </w:p>
        </w:tc>
        <w:tc>
          <w:tcPr>
            <w:tcW w:type="dxa" w:w="1881"/>
            <w:shd w:val="clear" w:color="auto" w:fill="EBF3FB"/>
          </w:tcPr>
          <w:p>
            <w:pPr>
              <w:jc w:val="center"/>
            </w:pPr>
            <w:r>
              <w:rPr>
                <w:rFonts w:ascii="Calibri" w:hAnsi="Calibri"/>
                <w:b/>
                <w:color w:val="70AD47"/>
                <w:sz w:val="18"/>
              </w:rPr>
              <w:t>−83.5%</w:t>
            </w:r>
          </w:p>
        </w:tc>
        <w:tc>
          <w:tcPr>
            <w:tcW w:type="dxa" w:w="1881"/>
            <w:shd w:val="clear" w:color="auto" w:fill="EBF3FB"/>
          </w:tcPr>
          <w:p>
            <w:pPr>
              <w:jc w:val="center"/>
            </w:pPr>
            <w:r>
              <w:rPr>
                <w:rFonts w:ascii="Calibri" w:hAnsi="Calibri"/>
                <w:color w:val="FFC000"/>
                <w:sz w:val="18"/>
              </w:rPr>
              <w:t>High</w:t>
            </w:r>
          </w:p>
        </w:tc>
      </w:tr>
      <w:tr>
        <w:tc>
          <w:tcPr>
            <w:tcW w:type="dxa" w:w="1881"/>
            <w:shd w:val="clear" w:color="auto" w:fill="FFFFFF"/>
          </w:tcPr>
          <w:p>
            <w:pPr>
              <w:jc w:val="center"/>
            </w:pPr>
            <w:r>
              <w:rPr>
                <w:rFonts w:ascii="Calibri" w:hAnsi="Calibri"/>
                <w:color w:val="1F3864"/>
                <w:sz w:val="18"/>
              </w:rPr>
              <w:t>Order Processing Time</w:t>
            </w:r>
          </w:p>
        </w:tc>
        <w:tc>
          <w:tcPr>
            <w:tcW w:type="dxa" w:w="1881"/>
            <w:shd w:val="clear" w:color="auto" w:fill="FFFFFF"/>
          </w:tcPr>
          <w:p>
            <w:pPr>
              <w:jc w:val="center"/>
            </w:pPr>
            <w:r>
              <w:rPr>
                <w:rFonts w:ascii="Calibri" w:hAnsi="Calibri"/>
                <w:color w:val="C00000"/>
                <w:sz w:val="18"/>
              </w:rPr>
              <w:t>52.4 min</w:t>
            </w:r>
          </w:p>
        </w:tc>
        <w:tc>
          <w:tcPr>
            <w:tcW w:type="dxa" w:w="1881"/>
            <w:shd w:val="clear" w:color="auto" w:fill="FFFFFF"/>
          </w:tcPr>
          <w:p>
            <w:pPr>
              <w:jc w:val="center"/>
            </w:pPr>
            <w:r>
              <w:rPr>
                <w:rFonts w:ascii="Calibri" w:hAnsi="Calibri"/>
                <w:color w:val="70AD47"/>
                <w:sz w:val="18"/>
              </w:rPr>
              <w:t>~5 min</w:t>
            </w:r>
          </w:p>
        </w:tc>
        <w:tc>
          <w:tcPr>
            <w:tcW w:type="dxa" w:w="1881"/>
            <w:shd w:val="clear" w:color="auto" w:fill="FFFFFF"/>
          </w:tcPr>
          <w:p>
            <w:pPr>
              <w:jc w:val="center"/>
            </w:pPr>
            <w:r>
              <w:rPr>
                <w:rFonts w:ascii="Calibri" w:hAnsi="Calibri"/>
                <w:b/>
                <w:color w:val="70AD47"/>
                <w:sz w:val="18"/>
              </w:rPr>
              <w:t>−90.5%</w:t>
            </w:r>
          </w:p>
        </w:tc>
        <w:tc>
          <w:tcPr>
            <w:tcW w:type="dxa" w:w="1881"/>
            <w:shd w:val="clear" w:color="auto" w:fill="FFFFFF"/>
          </w:tcPr>
          <w:p>
            <w:pPr>
              <w:jc w:val="center"/>
            </w:pPr>
            <w:r>
              <w:rPr>
                <w:rFonts w:ascii="Calibri" w:hAnsi="Calibri"/>
                <w:color w:val="FFC000"/>
                <w:sz w:val="18"/>
              </w:rPr>
              <w:t>High</w:t>
            </w:r>
          </w:p>
        </w:tc>
      </w:tr>
      <w:tr>
        <w:tc>
          <w:tcPr>
            <w:tcW w:type="dxa" w:w="1881"/>
            <w:shd w:val="clear" w:color="auto" w:fill="EBF3FB"/>
          </w:tcPr>
          <w:p>
            <w:pPr>
              <w:jc w:val="center"/>
            </w:pPr>
            <w:r>
              <w:rPr>
                <w:rFonts w:ascii="Calibri" w:hAnsi="Calibri"/>
                <w:color w:val="1F3864"/>
                <w:sz w:val="18"/>
              </w:rPr>
              <w:t>Error Rate</w:t>
            </w:r>
          </w:p>
        </w:tc>
        <w:tc>
          <w:tcPr>
            <w:tcW w:type="dxa" w:w="1881"/>
            <w:shd w:val="clear" w:color="auto" w:fill="EBF3FB"/>
          </w:tcPr>
          <w:p>
            <w:pPr>
              <w:jc w:val="center"/>
            </w:pPr>
            <w:r>
              <w:rPr>
                <w:rFonts w:ascii="Calibri" w:hAnsi="Calibri"/>
                <w:color w:val="C00000"/>
                <w:sz w:val="18"/>
              </w:rPr>
              <w:t>33.1%</w:t>
            </w:r>
          </w:p>
        </w:tc>
        <w:tc>
          <w:tcPr>
            <w:tcW w:type="dxa" w:w="1881"/>
            <w:shd w:val="clear" w:color="auto" w:fill="EBF3FB"/>
          </w:tcPr>
          <w:p>
            <w:pPr>
              <w:jc w:val="center"/>
            </w:pPr>
            <w:r>
              <w:rPr>
                <w:rFonts w:ascii="Calibri" w:hAnsi="Calibri"/>
                <w:color w:val="70AD47"/>
                <w:sz w:val="18"/>
              </w:rPr>
              <w:t>&lt; 3.0%</w:t>
            </w:r>
          </w:p>
        </w:tc>
        <w:tc>
          <w:tcPr>
            <w:tcW w:type="dxa" w:w="1881"/>
            <w:shd w:val="clear" w:color="auto" w:fill="EBF3FB"/>
          </w:tcPr>
          <w:p>
            <w:pPr>
              <w:jc w:val="center"/>
            </w:pPr>
            <w:r>
              <w:rPr>
                <w:rFonts w:ascii="Calibri" w:hAnsi="Calibri"/>
                <w:b/>
                <w:color w:val="70AD47"/>
                <w:sz w:val="18"/>
              </w:rPr>
              <w:t>−91.0%</w:t>
            </w:r>
          </w:p>
        </w:tc>
        <w:tc>
          <w:tcPr>
            <w:tcW w:type="dxa" w:w="1881"/>
            <w:shd w:val="clear" w:color="auto" w:fill="EBF3FB"/>
          </w:tcPr>
          <w:p>
            <w:pPr>
              <w:jc w:val="center"/>
            </w:pPr>
            <w:r>
              <w:rPr>
                <w:rFonts w:ascii="Calibri" w:hAnsi="Calibri"/>
                <w:color w:val="FFC000"/>
                <w:sz w:val="18"/>
              </w:rPr>
              <w:t>High</w:t>
            </w:r>
          </w:p>
        </w:tc>
      </w:tr>
      <w:tr>
        <w:tc>
          <w:tcPr>
            <w:tcW w:type="dxa" w:w="1881"/>
            <w:shd w:val="clear" w:color="auto" w:fill="FFFFFF"/>
          </w:tcPr>
          <w:p>
            <w:pPr>
              <w:jc w:val="center"/>
            </w:pPr>
            <w:r>
              <w:rPr>
                <w:rFonts w:ascii="Calibri" w:hAnsi="Calibri"/>
                <w:color w:val="1F3864"/>
                <w:sz w:val="18"/>
              </w:rPr>
              <w:t>Cancelled Order Rate</w:t>
            </w:r>
          </w:p>
        </w:tc>
        <w:tc>
          <w:tcPr>
            <w:tcW w:type="dxa" w:w="1881"/>
            <w:shd w:val="clear" w:color="auto" w:fill="FFFFFF"/>
          </w:tcPr>
          <w:p>
            <w:pPr>
              <w:jc w:val="center"/>
            </w:pPr>
            <w:r>
              <w:rPr>
                <w:rFonts w:ascii="Calibri" w:hAnsi="Calibri"/>
                <w:color w:val="C00000"/>
                <w:sz w:val="18"/>
              </w:rPr>
              <w:t>7.3%</w:t>
            </w:r>
          </w:p>
        </w:tc>
        <w:tc>
          <w:tcPr>
            <w:tcW w:type="dxa" w:w="1881"/>
            <w:shd w:val="clear" w:color="auto" w:fill="FFFFFF"/>
          </w:tcPr>
          <w:p>
            <w:pPr>
              <w:jc w:val="center"/>
            </w:pPr>
            <w:r>
              <w:rPr>
                <w:rFonts w:ascii="Calibri" w:hAnsi="Calibri"/>
                <w:color w:val="70AD47"/>
                <w:sz w:val="18"/>
              </w:rPr>
              <w:t>&lt; 2.0%</w:t>
            </w:r>
          </w:p>
        </w:tc>
        <w:tc>
          <w:tcPr>
            <w:tcW w:type="dxa" w:w="1881"/>
            <w:shd w:val="clear" w:color="auto" w:fill="FFFFFF"/>
          </w:tcPr>
          <w:p>
            <w:pPr>
              <w:jc w:val="center"/>
            </w:pPr>
            <w:r>
              <w:rPr>
                <w:rFonts w:ascii="Calibri" w:hAnsi="Calibri"/>
                <w:b/>
                <w:color w:val="70AD47"/>
                <w:sz w:val="18"/>
              </w:rPr>
              <w:t>−72.6%</w:t>
            </w:r>
          </w:p>
        </w:tc>
        <w:tc>
          <w:tcPr>
            <w:tcW w:type="dxa" w:w="1881"/>
            <w:shd w:val="clear" w:color="auto" w:fill="FFFFFF"/>
          </w:tcPr>
          <w:p>
            <w:pPr>
              <w:jc w:val="center"/>
            </w:pPr>
            <w:r>
              <w:rPr>
                <w:rFonts w:ascii="Calibri" w:hAnsi="Calibri"/>
                <w:color w:val="FFC000"/>
                <w:sz w:val="18"/>
              </w:rPr>
              <w:t>High</w:t>
            </w:r>
          </w:p>
        </w:tc>
      </w:tr>
      <w:tr>
        <w:tc>
          <w:tcPr>
            <w:tcW w:type="dxa" w:w="1881"/>
            <w:shd w:val="clear" w:color="auto" w:fill="EBF3FB"/>
          </w:tcPr>
          <w:p>
            <w:pPr>
              <w:jc w:val="center"/>
            </w:pPr>
            <w:r>
              <w:rPr>
                <w:rFonts w:ascii="Calibri" w:hAnsi="Calibri"/>
                <w:color w:val="1F3864"/>
                <w:sz w:val="18"/>
              </w:rPr>
              <w:t>Invoice Generation Time</w:t>
            </w:r>
          </w:p>
        </w:tc>
        <w:tc>
          <w:tcPr>
            <w:tcW w:type="dxa" w:w="1881"/>
            <w:shd w:val="clear" w:color="auto" w:fill="EBF3FB"/>
          </w:tcPr>
          <w:p>
            <w:pPr>
              <w:jc w:val="center"/>
            </w:pPr>
            <w:r>
              <w:rPr>
                <w:rFonts w:ascii="Calibri" w:hAnsi="Calibri"/>
                <w:color w:val="C00000"/>
                <w:sz w:val="18"/>
              </w:rPr>
              <w:t>12.1 min</w:t>
            </w:r>
          </w:p>
        </w:tc>
        <w:tc>
          <w:tcPr>
            <w:tcW w:type="dxa" w:w="1881"/>
            <w:shd w:val="clear" w:color="auto" w:fill="EBF3FB"/>
          </w:tcPr>
          <w:p>
            <w:pPr>
              <w:jc w:val="center"/>
            </w:pPr>
            <w:r>
              <w:rPr>
                <w:rFonts w:ascii="Calibri" w:hAnsi="Calibri"/>
                <w:color w:val="70AD47"/>
                <w:sz w:val="18"/>
              </w:rPr>
              <w:t>&lt; 1 min</w:t>
            </w:r>
          </w:p>
        </w:tc>
        <w:tc>
          <w:tcPr>
            <w:tcW w:type="dxa" w:w="1881"/>
            <w:shd w:val="clear" w:color="auto" w:fill="EBF3FB"/>
          </w:tcPr>
          <w:p>
            <w:pPr>
              <w:jc w:val="center"/>
            </w:pPr>
            <w:r>
              <w:rPr>
                <w:rFonts w:ascii="Calibri" w:hAnsi="Calibri"/>
                <w:b/>
                <w:color w:val="70AD47"/>
                <w:sz w:val="18"/>
              </w:rPr>
              <w:t>−92.0%</w:t>
            </w:r>
          </w:p>
        </w:tc>
        <w:tc>
          <w:tcPr>
            <w:tcW w:type="dxa" w:w="1881"/>
            <w:shd w:val="clear" w:color="auto" w:fill="EBF3FB"/>
          </w:tcPr>
          <w:p>
            <w:pPr>
              <w:jc w:val="center"/>
            </w:pPr>
            <w:r>
              <w:rPr>
                <w:rFonts w:ascii="Calibri" w:hAnsi="Calibri"/>
                <w:color w:val="FFC000"/>
                <w:sz w:val="18"/>
              </w:rPr>
              <w:t>High</w:t>
            </w:r>
          </w:p>
        </w:tc>
      </w:tr>
      <w:tr>
        <w:tc>
          <w:tcPr>
            <w:tcW w:type="dxa" w:w="1881"/>
            <w:shd w:val="clear" w:color="auto" w:fill="FFFFFF"/>
          </w:tcPr>
          <w:p>
            <w:pPr>
              <w:jc w:val="center"/>
            </w:pPr>
            <w:r>
              <w:rPr>
                <w:rFonts w:ascii="Calibri" w:hAnsi="Calibri"/>
                <w:color w:val="1F3864"/>
                <w:sz w:val="18"/>
              </w:rPr>
              <w:t>Daily Order Capacity</w:t>
            </w:r>
          </w:p>
        </w:tc>
        <w:tc>
          <w:tcPr>
            <w:tcW w:type="dxa" w:w="1881"/>
            <w:shd w:val="clear" w:color="auto" w:fill="FFFFFF"/>
          </w:tcPr>
          <w:p>
            <w:pPr>
              <w:jc w:val="center"/>
            </w:pPr>
            <w:r>
              <w:rPr>
                <w:rFonts w:ascii="Calibri" w:hAnsi="Calibri"/>
                <w:color w:val="C00000"/>
                <w:sz w:val="18"/>
              </w:rPr>
              <w:t>50–80 orders</w:t>
            </w:r>
          </w:p>
        </w:tc>
        <w:tc>
          <w:tcPr>
            <w:tcW w:type="dxa" w:w="1881"/>
            <w:shd w:val="clear" w:color="auto" w:fill="FFFFFF"/>
          </w:tcPr>
          <w:p>
            <w:pPr>
              <w:jc w:val="center"/>
            </w:pPr>
            <w:r>
              <w:rPr>
                <w:rFonts w:ascii="Calibri" w:hAnsi="Calibri"/>
                <w:color w:val="70AD47"/>
                <w:sz w:val="18"/>
              </w:rPr>
              <w:t>100–130 orders</w:t>
            </w:r>
          </w:p>
        </w:tc>
        <w:tc>
          <w:tcPr>
            <w:tcW w:type="dxa" w:w="1881"/>
            <w:shd w:val="clear" w:color="auto" w:fill="FFFFFF"/>
          </w:tcPr>
          <w:p>
            <w:pPr>
              <w:jc w:val="center"/>
            </w:pPr>
            <w:r>
              <w:rPr>
                <w:rFonts w:ascii="Calibri" w:hAnsi="Calibri"/>
                <w:b/>
                <w:color w:val="70AD47"/>
                <w:sz w:val="18"/>
              </w:rPr>
              <w:t>+62.5%</w:t>
            </w:r>
          </w:p>
        </w:tc>
        <w:tc>
          <w:tcPr>
            <w:tcW w:type="dxa" w:w="1881"/>
            <w:shd w:val="clear" w:color="auto" w:fill="FFFFFF"/>
          </w:tcPr>
          <w:p>
            <w:pPr>
              <w:jc w:val="center"/>
            </w:pPr>
            <w:r>
              <w:rPr>
                <w:rFonts w:ascii="Calibri" w:hAnsi="Calibri"/>
                <w:color w:val="FFC000"/>
                <w:sz w:val="18"/>
              </w:rPr>
              <w:t>High</w:t>
            </w:r>
          </w:p>
        </w:tc>
      </w:tr>
      <w:tr>
        <w:tc>
          <w:tcPr>
            <w:tcW w:type="dxa" w:w="1881"/>
            <w:shd w:val="clear" w:color="auto" w:fill="EBF3FB"/>
          </w:tcPr>
          <w:p>
            <w:pPr>
              <w:jc w:val="center"/>
            </w:pPr>
            <w:r>
              <w:rPr>
                <w:rFonts w:ascii="Calibri" w:hAnsi="Calibri"/>
                <w:color w:val="1F3864"/>
                <w:sz w:val="18"/>
              </w:rPr>
              <w:t>Staff Hours on Data Entry</w:t>
            </w:r>
          </w:p>
        </w:tc>
        <w:tc>
          <w:tcPr>
            <w:tcW w:type="dxa" w:w="1881"/>
            <w:shd w:val="clear" w:color="auto" w:fill="EBF3FB"/>
          </w:tcPr>
          <w:p>
            <w:pPr>
              <w:jc w:val="center"/>
            </w:pPr>
            <w:r>
              <w:rPr>
                <w:rFonts w:ascii="Calibri" w:hAnsi="Calibri"/>
                <w:color w:val="C00000"/>
                <w:sz w:val="18"/>
              </w:rPr>
              <w:t>~6 hrs/day</w:t>
            </w:r>
          </w:p>
        </w:tc>
        <w:tc>
          <w:tcPr>
            <w:tcW w:type="dxa" w:w="1881"/>
            <w:shd w:val="clear" w:color="auto" w:fill="EBF3FB"/>
          </w:tcPr>
          <w:p>
            <w:pPr>
              <w:jc w:val="center"/>
            </w:pPr>
            <w:r>
              <w:rPr>
                <w:rFonts w:ascii="Calibri" w:hAnsi="Calibri"/>
                <w:color w:val="70AD47"/>
                <w:sz w:val="18"/>
              </w:rPr>
              <w:t>~0.5 hrs/day</w:t>
            </w:r>
          </w:p>
        </w:tc>
        <w:tc>
          <w:tcPr>
            <w:tcW w:type="dxa" w:w="1881"/>
            <w:shd w:val="clear" w:color="auto" w:fill="EBF3FB"/>
          </w:tcPr>
          <w:p>
            <w:pPr>
              <w:jc w:val="center"/>
            </w:pPr>
            <w:r>
              <w:rPr>
                <w:rFonts w:ascii="Calibri" w:hAnsi="Calibri"/>
                <w:b/>
                <w:color w:val="70AD47"/>
                <w:sz w:val="18"/>
              </w:rPr>
              <w:t>−92.0%</w:t>
            </w:r>
          </w:p>
        </w:tc>
        <w:tc>
          <w:tcPr>
            <w:tcW w:type="dxa" w:w="1881"/>
            <w:shd w:val="clear" w:color="auto" w:fill="EBF3FB"/>
          </w:tcPr>
          <w:p>
            <w:pPr>
              <w:jc w:val="center"/>
            </w:pPr>
            <w:r>
              <w:rPr>
                <w:rFonts w:ascii="Calibri" w:hAnsi="Calibri"/>
                <w:color w:val="FFC000"/>
                <w:sz w:val="18"/>
              </w:rPr>
              <w:t>High</w:t>
            </w:r>
          </w:p>
        </w:tc>
      </w:tr>
      <w:tr>
        <w:tc>
          <w:tcPr>
            <w:tcW w:type="dxa" w:w="1881"/>
            <w:shd w:val="clear" w:color="auto" w:fill="FFFFFF"/>
          </w:tcPr>
          <w:p>
            <w:pPr>
              <w:jc w:val="center"/>
            </w:pPr>
            <w:r>
              <w:rPr>
                <w:rFonts w:ascii="Calibri" w:hAnsi="Calibri"/>
                <w:color w:val="1F3864"/>
                <w:sz w:val="18"/>
              </w:rPr>
              <w:t>Customer Satisfaction (NPS)</w:t>
            </w:r>
          </w:p>
        </w:tc>
        <w:tc>
          <w:tcPr>
            <w:tcW w:type="dxa" w:w="1881"/>
            <w:shd w:val="clear" w:color="auto" w:fill="FFFFFF"/>
          </w:tcPr>
          <w:p>
            <w:pPr>
              <w:jc w:val="center"/>
            </w:pPr>
            <w:r>
              <w:rPr>
                <w:rFonts w:ascii="Calibri" w:hAnsi="Calibri"/>
                <w:color w:val="C00000"/>
                <w:sz w:val="18"/>
              </w:rPr>
              <w:t>~32</w:t>
            </w:r>
          </w:p>
        </w:tc>
        <w:tc>
          <w:tcPr>
            <w:tcW w:type="dxa" w:w="1881"/>
            <w:shd w:val="clear" w:color="auto" w:fill="FFFFFF"/>
          </w:tcPr>
          <w:p>
            <w:pPr>
              <w:jc w:val="center"/>
            </w:pPr>
            <w:r>
              <w:rPr>
                <w:rFonts w:ascii="Calibri" w:hAnsi="Calibri"/>
                <w:color w:val="70AD47"/>
                <w:sz w:val="18"/>
              </w:rPr>
              <w:t>~68 (est.)</w:t>
            </w:r>
          </w:p>
        </w:tc>
        <w:tc>
          <w:tcPr>
            <w:tcW w:type="dxa" w:w="1881"/>
            <w:shd w:val="clear" w:color="auto" w:fill="FFFFFF"/>
          </w:tcPr>
          <w:p>
            <w:pPr>
              <w:jc w:val="center"/>
            </w:pPr>
            <w:r>
              <w:rPr>
                <w:rFonts w:ascii="Calibri" w:hAnsi="Calibri"/>
                <w:b/>
                <w:color w:val="70AD47"/>
                <w:sz w:val="18"/>
              </w:rPr>
              <w:t>+112.5%</w:t>
            </w:r>
          </w:p>
        </w:tc>
        <w:tc>
          <w:tcPr>
            <w:tcW w:type="dxa" w:w="1881"/>
            <w:shd w:val="clear" w:color="auto" w:fill="FFFFFF"/>
          </w:tcPr>
          <w:p>
            <w:pPr>
              <w:jc w:val="center"/>
            </w:pPr>
            <w:r>
              <w:rPr>
                <w:rFonts w:ascii="Calibri" w:hAnsi="Calibri"/>
                <w:color w:val="FFC000"/>
                <w:sz w:val="18"/>
              </w:rPr>
              <w:t>Medium</w:t>
            </w:r>
          </w:p>
        </w:tc>
      </w:tr>
    </w:tbl>
    <w:p>
      <w:pPr>
        <w:spacing w:before="160" w:after="60"/>
      </w:pPr>
      <w:r>
        <w:rPr>
          <w:rFonts w:ascii="Calibri" w:hAnsi="Calibri"/>
          <w:b/>
          <w:color w:val="2E75B6"/>
          <w:sz w:val="26"/>
        </w:rPr>
        <w:t>Financial Business Case</w:t>
      </w:r>
    </w:p>
    <w:tbl>
      <w:tblPr>
        <w:tblStyle w:val="TableGrid"/>
        <w:tblW w:type="auto" w:w="0"/>
        <w:jc w:val="center"/>
        <w:tblLook w:firstColumn="1" w:firstRow="1" w:lastColumn="0" w:lastRow="0" w:noHBand="0" w:noVBand="1" w:val="04A0"/>
      </w:tblPr>
      <w:tblGrid>
        <w:gridCol w:w="2880"/>
        <w:gridCol w:w="3600"/>
        <w:gridCol w:w="2160"/>
      </w:tblGrid>
      <w:tr>
        <w:tc>
          <w:tcPr>
            <w:tcW w:type="dxa" w:w="3135"/>
            <w:shd w:val="clear" w:color="auto" w:fill="1F3864"/>
          </w:tcPr>
          <w:p>
            <w:pPr>
              <w:jc w:val="center"/>
            </w:pPr>
            <w:r>
              <w:rPr>
                <w:rFonts w:ascii="Calibri" w:hAnsi="Calibri"/>
                <w:b/>
                <w:color w:val="FFFFFF"/>
                <w:sz w:val="19"/>
              </w:rPr>
              <w:t>Line Item</w:t>
            </w:r>
          </w:p>
        </w:tc>
        <w:tc>
          <w:tcPr>
            <w:tcW w:type="dxa" w:w="3135"/>
            <w:shd w:val="clear" w:color="auto" w:fill="1F3864"/>
          </w:tcPr>
          <w:p>
            <w:pPr>
              <w:jc w:val="center"/>
            </w:pPr>
            <w:r>
              <w:rPr>
                <w:rFonts w:ascii="Calibri" w:hAnsi="Calibri"/>
                <w:b/>
                <w:color w:val="FFFFFF"/>
                <w:sz w:val="19"/>
              </w:rPr>
              <w:t>Description</w:t>
            </w:r>
          </w:p>
        </w:tc>
        <w:tc>
          <w:tcPr>
            <w:tcW w:type="dxa" w:w="3135"/>
            <w:shd w:val="clear" w:color="auto" w:fill="1F3864"/>
          </w:tcPr>
          <w:p>
            <w:pPr>
              <w:jc w:val="center"/>
            </w:pPr>
            <w:r>
              <w:rPr>
                <w:rFonts w:ascii="Calibri" w:hAnsi="Calibri"/>
                <w:b/>
                <w:color w:val="FFFFFF"/>
                <w:sz w:val="19"/>
              </w:rPr>
              <w:t>Amount (USD)</w:t>
            </w:r>
          </w:p>
        </w:tc>
      </w:tr>
      <w:tr>
        <w:tc>
          <w:tcPr>
            <w:tcW w:type="dxa" w:w="3135"/>
            <w:shd w:val="clear" w:color="auto" w:fill="EBF3FB"/>
          </w:tcPr>
          <w:p>
            <w:pPr>
              <w:jc w:val="center"/>
            </w:pPr>
            <w:r>
              <w:rPr>
                <w:rFonts w:ascii="Calibri" w:hAnsi="Calibri"/>
                <w:color w:val="1F3864"/>
                <w:sz w:val="18"/>
              </w:rPr>
              <w:t>Implementation Cost (Year 1)</w:t>
            </w:r>
          </w:p>
        </w:tc>
        <w:tc>
          <w:tcPr>
            <w:tcW w:type="dxa" w:w="3135"/>
            <w:shd w:val="clear" w:color="auto" w:fill="EBF3FB"/>
          </w:tcPr>
          <w:p>
            <w:pPr>
              <w:jc w:val="center"/>
            </w:pPr>
            <w:r>
              <w:rPr>
                <w:rFonts w:ascii="Calibri" w:hAnsi="Calibri"/>
                <w:color w:val="595959"/>
                <w:sz w:val="18"/>
              </w:rPr>
              <w:t>Technology licenses + setup + training</w:t>
            </w:r>
          </w:p>
        </w:tc>
        <w:tc>
          <w:tcPr>
            <w:tcW w:type="dxa" w:w="3135"/>
            <w:shd w:val="clear" w:color="auto" w:fill="EBF3FB"/>
          </w:tcPr>
          <w:p>
            <w:pPr>
              <w:jc w:val="center"/>
            </w:pPr>
            <w:r>
              <w:rPr>
                <w:rFonts w:ascii="Calibri" w:hAnsi="Calibri"/>
                <w:color w:val="C00000"/>
                <w:sz w:val="18"/>
              </w:rPr>
              <w:t>$(26,500)</w:t>
            </w:r>
          </w:p>
        </w:tc>
      </w:tr>
      <w:tr>
        <w:tc>
          <w:tcPr>
            <w:tcW w:type="dxa" w:w="3135"/>
            <w:shd w:val="clear" w:color="auto" w:fill="FFFFFF"/>
          </w:tcPr>
          <w:p>
            <w:pPr>
              <w:jc w:val="center"/>
            </w:pPr>
            <w:r>
              <w:rPr>
                <w:rFonts w:ascii="Calibri" w:hAnsi="Calibri"/>
                <w:color w:val="1F3864"/>
                <w:sz w:val="18"/>
              </w:rPr>
              <w:t>Staff Redeployment Savings</w:t>
            </w:r>
          </w:p>
        </w:tc>
        <w:tc>
          <w:tcPr>
            <w:tcW w:type="dxa" w:w="3135"/>
            <w:shd w:val="clear" w:color="auto" w:fill="FFFFFF"/>
          </w:tcPr>
          <w:p>
            <w:pPr>
              <w:jc w:val="center"/>
            </w:pPr>
            <w:r>
              <w:rPr>
                <w:rFonts w:ascii="Calibri" w:hAnsi="Calibri"/>
                <w:color w:val="595959"/>
                <w:sz w:val="18"/>
              </w:rPr>
              <w:t>2,800 rework hours/yr × $16/hr</w:t>
            </w:r>
          </w:p>
        </w:tc>
        <w:tc>
          <w:tcPr>
            <w:tcW w:type="dxa" w:w="3135"/>
            <w:shd w:val="clear" w:color="auto" w:fill="FFFFFF"/>
          </w:tcPr>
          <w:p>
            <w:pPr>
              <w:jc w:val="center"/>
            </w:pPr>
            <w:r>
              <w:rPr>
                <w:rFonts w:ascii="Calibri" w:hAnsi="Calibri"/>
                <w:color w:val="70AD47"/>
                <w:sz w:val="18"/>
              </w:rPr>
              <w:t>$44,800</w:t>
            </w:r>
          </w:p>
        </w:tc>
      </w:tr>
      <w:tr>
        <w:tc>
          <w:tcPr>
            <w:tcW w:type="dxa" w:w="3135"/>
            <w:shd w:val="clear" w:color="auto" w:fill="EBF3FB"/>
          </w:tcPr>
          <w:p>
            <w:pPr>
              <w:jc w:val="center"/>
            </w:pPr>
            <w:r>
              <w:rPr>
                <w:rFonts w:ascii="Calibri" w:hAnsi="Calibri"/>
                <w:color w:val="1F3864"/>
                <w:sz w:val="18"/>
              </w:rPr>
              <w:t>Error Resolution Cost Savings</w:t>
            </w:r>
          </w:p>
        </w:tc>
        <w:tc>
          <w:tcPr>
            <w:tcW w:type="dxa" w:w="3135"/>
            <w:shd w:val="clear" w:color="auto" w:fill="EBF3FB"/>
          </w:tcPr>
          <w:p>
            <w:pPr>
              <w:jc w:val="center"/>
            </w:pPr>
            <w:r>
              <w:rPr>
                <w:rFonts w:ascii="Calibri" w:hAnsi="Calibri"/>
                <w:color w:val="595959"/>
                <w:sz w:val="18"/>
              </w:rPr>
              <w:t>Reduced re-processing overhead</w:t>
            </w:r>
          </w:p>
        </w:tc>
        <w:tc>
          <w:tcPr>
            <w:tcW w:type="dxa" w:w="3135"/>
            <w:shd w:val="clear" w:color="auto" w:fill="EBF3FB"/>
          </w:tcPr>
          <w:p>
            <w:pPr>
              <w:jc w:val="center"/>
            </w:pPr>
            <w:r>
              <w:rPr>
                <w:rFonts w:ascii="Calibri" w:hAnsi="Calibri"/>
                <w:color w:val="70AD47"/>
                <w:sz w:val="18"/>
              </w:rPr>
              <w:t>$18,200</w:t>
            </w:r>
          </w:p>
        </w:tc>
      </w:tr>
      <w:tr>
        <w:tc>
          <w:tcPr>
            <w:tcW w:type="dxa" w:w="3135"/>
            <w:shd w:val="clear" w:color="auto" w:fill="FFFFFF"/>
          </w:tcPr>
          <w:p>
            <w:pPr>
              <w:jc w:val="center"/>
            </w:pPr>
            <w:r>
              <w:rPr>
                <w:rFonts w:ascii="Calibri" w:hAnsi="Calibri"/>
                <w:color w:val="1F3864"/>
                <w:sz w:val="18"/>
              </w:rPr>
              <w:t>Cancelled Order Revenue Recovery</w:t>
            </w:r>
          </w:p>
        </w:tc>
        <w:tc>
          <w:tcPr>
            <w:tcW w:type="dxa" w:w="3135"/>
            <w:shd w:val="clear" w:color="auto" w:fill="FFFFFF"/>
          </w:tcPr>
          <w:p>
            <w:pPr>
              <w:jc w:val="center"/>
            </w:pPr>
            <w:r>
              <w:rPr>
                <w:rFonts w:ascii="Calibri" w:hAnsi="Calibri"/>
                <w:color w:val="595959"/>
                <w:sz w:val="18"/>
              </w:rPr>
              <w:t>5.3% × $12,800 avg order × 1,500 orders/yr</w:t>
            </w:r>
          </w:p>
        </w:tc>
        <w:tc>
          <w:tcPr>
            <w:tcW w:type="dxa" w:w="3135"/>
            <w:shd w:val="clear" w:color="auto" w:fill="FFFFFF"/>
          </w:tcPr>
          <w:p>
            <w:pPr>
              <w:jc w:val="center"/>
            </w:pPr>
            <w:r>
              <w:rPr>
                <w:rFonts w:ascii="Calibri" w:hAnsi="Calibri"/>
                <w:color w:val="70AD47"/>
                <w:sz w:val="18"/>
              </w:rPr>
              <w:t>$101,800</w:t>
            </w:r>
          </w:p>
        </w:tc>
      </w:tr>
      <w:tr>
        <w:tc>
          <w:tcPr>
            <w:tcW w:type="dxa" w:w="3135"/>
            <w:shd w:val="clear" w:color="auto" w:fill="EBF3FB"/>
          </w:tcPr>
          <w:p>
            <w:pPr>
              <w:jc w:val="center"/>
            </w:pPr>
            <w:r>
              <w:rPr>
                <w:rFonts w:ascii="Calibri" w:hAnsi="Calibri"/>
                <w:color w:val="1F3864"/>
                <w:sz w:val="18"/>
              </w:rPr>
              <w:t>Overtime Elimination</w:t>
            </w:r>
          </w:p>
        </w:tc>
        <w:tc>
          <w:tcPr>
            <w:tcW w:type="dxa" w:w="3135"/>
            <w:shd w:val="clear" w:color="auto" w:fill="EBF3FB"/>
          </w:tcPr>
          <w:p>
            <w:pPr>
              <w:jc w:val="center"/>
            </w:pPr>
            <w:r>
              <w:rPr>
                <w:rFonts w:ascii="Calibri" w:hAnsi="Calibri"/>
                <w:color w:val="595959"/>
                <w:sz w:val="18"/>
              </w:rPr>
              <w:t>Current overtime: ~$45,000/yr estimated</w:t>
            </w:r>
          </w:p>
        </w:tc>
        <w:tc>
          <w:tcPr>
            <w:tcW w:type="dxa" w:w="3135"/>
            <w:shd w:val="clear" w:color="auto" w:fill="EBF3FB"/>
          </w:tcPr>
          <w:p>
            <w:pPr>
              <w:jc w:val="center"/>
            </w:pPr>
            <w:r>
              <w:rPr>
                <w:rFonts w:ascii="Calibri" w:hAnsi="Calibri"/>
                <w:color w:val="70AD47"/>
                <w:sz w:val="18"/>
              </w:rPr>
              <w:t>$38,000</w:t>
            </w:r>
          </w:p>
        </w:tc>
      </w:tr>
      <w:tr>
        <w:tc>
          <w:tcPr>
            <w:tcW w:type="dxa" w:w="3135"/>
            <w:shd w:val="clear" w:color="auto" w:fill="FFF8E1"/>
          </w:tcPr>
          <w:p>
            <w:pPr>
              <w:jc w:val="center"/>
            </w:pPr>
            <w:r>
              <w:rPr>
                <w:rFonts w:ascii="Calibri" w:hAnsi="Calibri"/>
                <w:b/>
                <w:color w:val="FFC000"/>
                <w:sz w:val="18"/>
              </w:rPr>
              <w:t>TOTAL ANNUAL BENEFIT</w:t>
            </w:r>
          </w:p>
        </w:tc>
        <w:tc>
          <w:tcPr>
            <w:tcW w:type="dxa" w:w="3135"/>
            <w:shd w:val="clear" w:color="auto" w:fill="FFF8E1"/>
          </w:tcPr>
          <w:p>
            <w:pPr>
              <w:jc w:val="center"/>
            </w:pPr>
            <w:r>
              <w:rPr>
                <w:rFonts w:ascii="Calibri" w:hAnsi="Calibri"/>
                <w:b/>
                <w:color w:val="595959"/>
                <w:sz w:val="18"/>
              </w:rPr>
              <w:t>Year 1 net (post-implementation cost)</w:t>
            </w:r>
          </w:p>
        </w:tc>
        <w:tc>
          <w:tcPr>
            <w:tcW w:type="dxa" w:w="3135"/>
            <w:shd w:val="clear" w:color="auto" w:fill="FFF8E1"/>
          </w:tcPr>
          <w:p>
            <w:pPr>
              <w:jc w:val="center"/>
            </w:pPr>
            <w:r>
              <w:rPr>
                <w:rFonts w:ascii="Calibri" w:hAnsi="Calibri"/>
                <w:b/>
                <w:color w:val="70AD47"/>
                <w:sz w:val="18"/>
              </w:rPr>
              <w:t>$176,300</w:t>
            </w:r>
          </w:p>
        </w:tc>
      </w:tr>
      <w:tr>
        <w:tc>
          <w:tcPr>
            <w:tcW w:type="dxa" w:w="3135"/>
            <w:shd w:val="clear" w:color="auto" w:fill="EBF3FB"/>
          </w:tcPr>
          <w:p>
            <w:pPr>
              <w:jc w:val="center"/>
            </w:pPr>
            <w:r>
              <w:rPr>
                <w:rFonts w:ascii="Calibri" w:hAnsi="Calibri"/>
                <w:color w:val="1F3864"/>
                <w:sz w:val="18"/>
              </w:rPr>
              <w:t>IMPLEMENTATION COST</w:t>
            </w:r>
          </w:p>
        </w:tc>
        <w:tc>
          <w:tcPr>
            <w:tcW w:type="dxa" w:w="3135"/>
            <w:shd w:val="clear" w:color="auto" w:fill="EBF3FB"/>
          </w:tcPr>
          <w:p>
            <w:pPr>
              <w:jc w:val="center"/>
            </w:pPr>
            <w:r>
              <w:rPr>
                <w:rFonts w:ascii="Calibri" w:hAnsi="Calibri"/>
                <w:color w:val="595959"/>
                <w:sz w:val="18"/>
              </w:rPr>
              <w:t>One-time investment (Year 1)</w:t>
            </w:r>
          </w:p>
        </w:tc>
        <w:tc>
          <w:tcPr>
            <w:tcW w:type="dxa" w:w="3135"/>
            <w:shd w:val="clear" w:color="auto" w:fill="EBF3FB"/>
          </w:tcPr>
          <w:p>
            <w:pPr>
              <w:jc w:val="center"/>
            </w:pPr>
            <w:r>
              <w:rPr>
                <w:rFonts w:ascii="Calibri" w:hAnsi="Calibri"/>
                <w:color w:val="C00000"/>
                <w:sz w:val="18"/>
              </w:rPr>
              <w:t>$(26,500)</w:t>
            </w:r>
          </w:p>
        </w:tc>
      </w:tr>
      <w:tr>
        <w:tc>
          <w:tcPr>
            <w:tcW w:type="dxa" w:w="3135"/>
            <w:shd w:val="clear" w:color="auto" w:fill="FFF8E1"/>
          </w:tcPr>
          <w:p>
            <w:pPr>
              <w:jc w:val="center"/>
            </w:pPr>
            <w:r>
              <w:rPr>
                <w:rFonts w:ascii="Calibri" w:hAnsi="Calibri"/>
                <w:b/>
                <w:color w:val="FFC000"/>
                <w:sz w:val="18"/>
              </w:rPr>
              <w:t>NET BENEFIT YEAR 1</w:t>
            </w:r>
          </w:p>
        </w:tc>
        <w:tc>
          <w:tcPr>
            <w:tcW w:type="dxa" w:w="3135"/>
            <w:shd w:val="clear" w:color="auto" w:fill="FFF8E1"/>
          </w:tcPr>
          <w:p>
            <w:pPr>
              <w:jc w:val="center"/>
            </w:pPr>
            <w:r>
              <w:rPr>
                <w:rFonts w:ascii="Calibri" w:hAnsi="Calibri"/>
                <w:b/>
                <w:color w:val="595959"/>
                <w:sz w:val="18"/>
              </w:rPr>
            </w:r>
          </w:p>
        </w:tc>
        <w:tc>
          <w:tcPr>
            <w:tcW w:type="dxa" w:w="3135"/>
            <w:shd w:val="clear" w:color="auto" w:fill="FFF8E1"/>
          </w:tcPr>
          <w:p>
            <w:pPr>
              <w:jc w:val="center"/>
            </w:pPr>
            <w:r>
              <w:rPr>
                <w:rFonts w:ascii="Calibri" w:hAnsi="Calibri"/>
                <w:b/>
                <w:color w:val="70AD47"/>
                <w:sz w:val="18"/>
              </w:rPr>
              <w:t>$149,800</w:t>
            </w:r>
          </w:p>
        </w:tc>
      </w:tr>
      <w:tr>
        <w:tc>
          <w:tcPr>
            <w:tcW w:type="dxa" w:w="3135"/>
            <w:shd w:val="clear" w:color="auto" w:fill="FFF8E1"/>
          </w:tcPr>
          <w:p>
            <w:pPr>
              <w:jc w:val="center"/>
            </w:pPr>
            <w:r>
              <w:rPr>
                <w:rFonts w:ascii="Calibri" w:hAnsi="Calibri"/>
                <w:b/>
                <w:color w:val="FFC000"/>
                <w:sz w:val="18"/>
              </w:rPr>
              <w:t>PROJECTED ROI</w:t>
            </w:r>
          </w:p>
        </w:tc>
        <w:tc>
          <w:tcPr>
            <w:tcW w:type="dxa" w:w="3135"/>
            <w:shd w:val="clear" w:color="auto" w:fill="FFF8E1"/>
          </w:tcPr>
          <w:p>
            <w:pPr>
              <w:jc w:val="center"/>
            </w:pPr>
            <w:r>
              <w:rPr>
                <w:rFonts w:ascii="Calibri" w:hAnsi="Calibri"/>
                <w:b/>
                <w:color w:val="595959"/>
                <w:sz w:val="18"/>
              </w:rPr>
              <w:t>Net benefit / Investment</w:t>
            </w:r>
          </w:p>
        </w:tc>
        <w:tc>
          <w:tcPr>
            <w:tcW w:type="dxa" w:w="3135"/>
            <w:shd w:val="clear" w:color="auto" w:fill="FFF8E1"/>
          </w:tcPr>
          <w:p>
            <w:pPr>
              <w:jc w:val="center"/>
            </w:pPr>
            <w:r>
              <w:rPr>
                <w:rFonts w:ascii="Calibri" w:hAnsi="Calibri"/>
                <w:b/>
                <w:color w:val="C00000"/>
                <w:sz w:val="18"/>
              </w:rPr>
              <w:t>3.2× / 220%</w:t>
            </w:r>
          </w:p>
        </w:tc>
      </w:tr>
      <w:tr>
        <w:tc>
          <w:tcPr>
            <w:tcW w:type="dxa" w:w="3135"/>
            <w:shd w:val="clear" w:color="auto" w:fill="FFF8E1"/>
          </w:tcPr>
          <w:p>
            <w:pPr>
              <w:jc w:val="center"/>
            </w:pPr>
            <w:r>
              <w:rPr>
                <w:rFonts w:ascii="Calibri" w:hAnsi="Calibri"/>
                <w:b/>
                <w:color w:val="FFC000"/>
                <w:sz w:val="18"/>
              </w:rPr>
              <w:t>PAYBACK PERIOD</w:t>
            </w:r>
          </w:p>
        </w:tc>
        <w:tc>
          <w:tcPr>
            <w:tcW w:type="dxa" w:w="3135"/>
            <w:shd w:val="clear" w:color="auto" w:fill="FFF8E1"/>
          </w:tcPr>
          <w:p>
            <w:pPr>
              <w:jc w:val="center"/>
            </w:pPr>
            <w:r>
              <w:rPr>
                <w:rFonts w:ascii="Calibri" w:hAnsi="Calibri"/>
                <w:b/>
                <w:color w:val="595959"/>
                <w:sz w:val="18"/>
              </w:rPr>
              <w:t>Break-even timeline</w:t>
            </w:r>
          </w:p>
        </w:tc>
        <w:tc>
          <w:tcPr>
            <w:tcW w:type="dxa" w:w="3135"/>
            <w:shd w:val="clear" w:color="auto" w:fill="FFF8E1"/>
          </w:tcPr>
          <w:p>
            <w:pPr>
              <w:jc w:val="center"/>
            </w:pPr>
            <w:r>
              <w:rPr>
                <w:rFonts w:ascii="Calibri" w:hAnsi="Calibri"/>
                <w:b/>
                <w:color w:val="C00000"/>
                <w:sz w:val="18"/>
              </w:rPr>
              <w:t>~2.1 months</w:t>
            </w:r>
          </w:p>
        </w:tc>
      </w:tr>
    </w:tbl>
    <w:p>
      <w:r>
        <w:br w:type="page"/>
      </w:r>
    </w:p>
    <w:p>
      <w:pPr>
        <w:spacing w:before="240" w:after="80"/>
        <w:jc w:val="left"/>
      </w:pPr>
      <w:r>
        <w:rPr>
          <w:rFonts w:ascii="Calibri" w:hAnsi="Calibri"/>
          <w:b/>
          <w:color w:val="1F3864"/>
          <w:sz w:val="36"/>
        </w:rPr>
        <w:t>8.  IMPLEMENTATION ROADMAP</w:t>
      </w:r>
    </w:p>
    <w:p>
      <w:pPr>
        <w:spacing w:before="80" w:after="80"/>
        <w:pBdr>
          <w:bottom w:val="single" w:sz="6" w:space="1" w:color="2E75B6"/>
        </w:pBdr>
      </w:pPr>
    </w:p>
    <w:p>
      <w:pPr>
        <w:spacing w:before="60" w:after="60" w:line="360" w:lineRule="auto"/>
        <w:jc w:val="both"/>
      </w:pPr>
      <w:r>
        <w:rPr>
          <w:rFonts w:ascii="Calibri" w:hAnsi="Calibri"/>
          <w:b w:val="0"/>
          <w:i w:val="0"/>
          <w:color w:val="595959"/>
          <w:sz w:val="21"/>
        </w:rPr>
        <w:t>The implementation is structured into three phases over a 9-month horizon, designed to deliver quick wins in Phase 1 while progressively building toward full process automation. Each phase is structured to minimize operational disruption and allow parallel running of old and new systems during transition periods.</w:t>
      </w:r>
    </w:p>
    <w:p>
      <w:pPr>
        <w:spacing w:before="200"/>
      </w:pPr>
      <w:r>
        <w:rPr>
          <w:rFonts w:ascii="Calibri" w:hAnsi="Calibri"/>
          <w:b/>
          <w:color w:val="1F3864"/>
          <w:sz w:val="24"/>
        </w:rPr>
        <w:t>PHASE 1: Foundation  (Months 1–3)</w:t>
      </w:r>
    </w:p>
    <w:p>
      <w:pPr>
        <w:spacing w:before="40" w:after="40" w:line="360" w:lineRule="auto"/>
        <w:jc w:val="both"/>
      </w:pPr>
      <w:r>
        <w:rPr>
          <w:rFonts w:ascii="Calibri" w:hAnsi="Calibri"/>
          <w:b w:val="0"/>
          <w:i/>
          <w:color w:val="595959"/>
          <w:sz w:val="20"/>
        </w:rPr>
        <w:t>Objectives: Eliminate manual data entry, implement digital order capture, deploy OMS.</w:t>
      </w:r>
    </w:p>
    <w:tbl>
      <w:tblPr>
        <w:tblStyle w:val="TableGrid"/>
        <w:tblW w:type="auto" w:w="0"/>
        <w:jc w:val="center"/>
        <w:tblLook w:firstColumn="1" w:firstRow="1" w:lastColumn="0" w:lastRow="0" w:noHBand="0" w:noVBand="1" w:val="04A0"/>
      </w:tblPr>
      <w:tblGrid>
        <w:gridCol w:w="4320"/>
        <w:gridCol w:w="1872"/>
        <w:gridCol w:w="2160"/>
      </w:tblGrid>
      <w:tr>
        <w:tc>
          <w:tcPr>
            <w:tcW w:type="dxa" w:w="3135"/>
            <w:shd w:val="clear" w:color="auto" w:fill="1F3864"/>
          </w:tcPr>
          <w:p>
            <w:pPr>
              <w:jc w:val="center"/>
            </w:pPr>
            <w:r>
              <w:rPr>
                <w:rFonts w:ascii="Calibri" w:hAnsi="Calibri"/>
                <w:b/>
                <w:color w:val="FFFFFF"/>
                <w:sz w:val="18"/>
              </w:rPr>
              <w:t>Milestone</w:t>
            </w:r>
          </w:p>
        </w:tc>
        <w:tc>
          <w:tcPr>
            <w:tcW w:type="dxa" w:w="3135"/>
            <w:shd w:val="clear" w:color="auto" w:fill="1F3864"/>
          </w:tcPr>
          <w:p>
            <w:pPr>
              <w:jc w:val="center"/>
            </w:pPr>
            <w:r>
              <w:rPr>
                <w:rFonts w:ascii="Calibri" w:hAnsi="Calibri"/>
                <w:b/>
                <w:color w:val="FFFFFF"/>
                <w:sz w:val="18"/>
              </w:rPr>
              <w:t>Timeline</w:t>
            </w:r>
          </w:p>
        </w:tc>
        <w:tc>
          <w:tcPr>
            <w:tcW w:type="dxa" w:w="3135"/>
            <w:shd w:val="clear" w:color="auto" w:fill="1F3864"/>
          </w:tcPr>
          <w:p>
            <w:pPr>
              <w:jc w:val="center"/>
            </w:pPr>
            <w:r>
              <w:rPr>
                <w:rFonts w:ascii="Calibri" w:hAnsi="Calibri"/>
                <w:b/>
                <w:color w:val="FFFFFF"/>
                <w:sz w:val="18"/>
              </w:rPr>
              <w:t>Owner</w:t>
            </w:r>
          </w:p>
        </w:tc>
      </w:tr>
      <w:tr>
        <w:tc>
          <w:tcPr>
            <w:tcW w:type="dxa" w:w="3135"/>
            <w:shd w:val="clear" w:color="auto" w:fill="EBF3FB"/>
          </w:tcPr>
          <w:p>
            <w:r>
              <w:rPr>
                <w:rFonts w:ascii="Calibri" w:hAnsi="Calibri"/>
                <w:color w:val="1F3864"/>
                <w:sz w:val="18"/>
              </w:rPr>
              <w:t>Digital Order Portal deployment</w:t>
            </w:r>
          </w:p>
        </w:tc>
        <w:tc>
          <w:tcPr>
            <w:tcW w:type="dxa" w:w="3135"/>
            <w:shd w:val="clear" w:color="auto" w:fill="EBF3FB"/>
          </w:tcPr>
          <w:p>
            <w:r>
              <w:rPr>
                <w:rFonts w:ascii="Calibri" w:hAnsi="Calibri"/>
                <w:color w:val="595959"/>
                <w:sz w:val="18"/>
              </w:rPr>
              <w:t>Weeks 1–4</w:t>
            </w:r>
          </w:p>
        </w:tc>
        <w:tc>
          <w:tcPr>
            <w:tcW w:type="dxa" w:w="3135"/>
            <w:shd w:val="clear" w:color="auto" w:fill="EBF3FB"/>
          </w:tcPr>
          <w:p>
            <w:r>
              <w:rPr>
                <w:rFonts w:ascii="Calibri" w:hAnsi="Calibri"/>
                <w:color w:val="00B0A4"/>
                <w:sz w:val="18"/>
              </w:rPr>
              <w:t>IT + Operations</w:t>
            </w:r>
          </w:p>
        </w:tc>
      </w:tr>
      <w:tr>
        <w:tc>
          <w:tcPr>
            <w:tcW w:type="dxa" w:w="3135"/>
            <w:shd w:val="clear" w:color="auto" w:fill="FFFFFF"/>
          </w:tcPr>
          <w:p>
            <w:r>
              <w:rPr>
                <w:rFonts w:ascii="Calibri" w:hAnsi="Calibri"/>
                <w:color w:val="1F3864"/>
                <w:sz w:val="18"/>
              </w:rPr>
              <w:t>OMS configuration &amp; data migration</w:t>
            </w:r>
          </w:p>
        </w:tc>
        <w:tc>
          <w:tcPr>
            <w:tcW w:type="dxa" w:w="3135"/>
            <w:shd w:val="clear" w:color="auto" w:fill="FFFFFF"/>
          </w:tcPr>
          <w:p>
            <w:r>
              <w:rPr>
                <w:rFonts w:ascii="Calibri" w:hAnsi="Calibri"/>
                <w:color w:val="595959"/>
                <w:sz w:val="18"/>
              </w:rPr>
              <w:t>Weeks 2–5</w:t>
            </w:r>
          </w:p>
        </w:tc>
        <w:tc>
          <w:tcPr>
            <w:tcW w:type="dxa" w:w="3135"/>
            <w:shd w:val="clear" w:color="auto" w:fill="FFFFFF"/>
          </w:tcPr>
          <w:p>
            <w:r>
              <w:rPr>
                <w:rFonts w:ascii="Calibri" w:hAnsi="Calibri"/>
                <w:color w:val="00B0A4"/>
                <w:sz w:val="18"/>
              </w:rPr>
              <w:t>IT + Consultant</w:t>
            </w:r>
          </w:p>
        </w:tc>
      </w:tr>
      <w:tr>
        <w:tc>
          <w:tcPr>
            <w:tcW w:type="dxa" w:w="3135"/>
            <w:shd w:val="clear" w:color="auto" w:fill="EBF3FB"/>
          </w:tcPr>
          <w:p>
            <w:r>
              <w:rPr>
                <w:rFonts w:ascii="Calibri" w:hAnsi="Calibri"/>
                <w:color w:val="1F3864"/>
                <w:sz w:val="18"/>
              </w:rPr>
              <w:t>Staff training — OMS &amp; portal</w:t>
            </w:r>
          </w:p>
        </w:tc>
        <w:tc>
          <w:tcPr>
            <w:tcW w:type="dxa" w:w="3135"/>
            <w:shd w:val="clear" w:color="auto" w:fill="EBF3FB"/>
          </w:tcPr>
          <w:p>
            <w:r>
              <w:rPr>
                <w:rFonts w:ascii="Calibri" w:hAnsi="Calibri"/>
                <w:color w:val="595959"/>
                <w:sz w:val="18"/>
              </w:rPr>
              <w:t>Weeks 4–6</w:t>
            </w:r>
          </w:p>
        </w:tc>
        <w:tc>
          <w:tcPr>
            <w:tcW w:type="dxa" w:w="3135"/>
            <w:shd w:val="clear" w:color="auto" w:fill="EBF3FB"/>
          </w:tcPr>
          <w:p>
            <w:r>
              <w:rPr>
                <w:rFonts w:ascii="Calibri" w:hAnsi="Calibri"/>
                <w:color w:val="00B0A4"/>
                <w:sz w:val="18"/>
              </w:rPr>
              <w:t>HR + Operations</w:t>
            </w:r>
          </w:p>
        </w:tc>
      </w:tr>
      <w:tr>
        <w:tc>
          <w:tcPr>
            <w:tcW w:type="dxa" w:w="3135"/>
            <w:shd w:val="clear" w:color="auto" w:fill="FFFFFF"/>
          </w:tcPr>
          <w:p>
            <w:r>
              <w:rPr>
                <w:rFonts w:ascii="Calibri" w:hAnsi="Calibri"/>
                <w:color w:val="1F3864"/>
                <w:sz w:val="18"/>
              </w:rPr>
              <w:t>ERP read-only API integration</w:t>
            </w:r>
          </w:p>
        </w:tc>
        <w:tc>
          <w:tcPr>
            <w:tcW w:type="dxa" w:w="3135"/>
            <w:shd w:val="clear" w:color="auto" w:fill="FFFFFF"/>
          </w:tcPr>
          <w:p>
            <w:r>
              <w:rPr>
                <w:rFonts w:ascii="Calibri" w:hAnsi="Calibri"/>
                <w:color w:val="595959"/>
                <w:sz w:val="18"/>
              </w:rPr>
              <w:t>Weeks 5–8</w:t>
            </w:r>
          </w:p>
        </w:tc>
        <w:tc>
          <w:tcPr>
            <w:tcW w:type="dxa" w:w="3135"/>
            <w:shd w:val="clear" w:color="auto" w:fill="FFFFFF"/>
          </w:tcPr>
          <w:p>
            <w:r>
              <w:rPr>
                <w:rFonts w:ascii="Calibri" w:hAnsi="Calibri"/>
                <w:color w:val="00B0A4"/>
                <w:sz w:val="18"/>
              </w:rPr>
              <w:t>IT</w:t>
            </w:r>
          </w:p>
        </w:tc>
      </w:tr>
      <w:tr>
        <w:tc>
          <w:tcPr>
            <w:tcW w:type="dxa" w:w="3135"/>
            <w:shd w:val="clear" w:color="auto" w:fill="EBF3FB"/>
          </w:tcPr>
          <w:p>
            <w:r>
              <w:rPr>
                <w:rFonts w:ascii="Calibri" w:hAnsi="Calibri"/>
                <w:color w:val="1F3864"/>
                <w:sz w:val="18"/>
              </w:rPr>
              <w:t>Parallel run (old + new)</w:t>
            </w:r>
          </w:p>
        </w:tc>
        <w:tc>
          <w:tcPr>
            <w:tcW w:type="dxa" w:w="3135"/>
            <w:shd w:val="clear" w:color="auto" w:fill="EBF3FB"/>
          </w:tcPr>
          <w:p>
            <w:r>
              <w:rPr>
                <w:rFonts w:ascii="Calibri" w:hAnsi="Calibri"/>
                <w:color w:val="595959"/>
                <w:sz w:val="18"/>
              </w:rPr>
              <w:t>Weeks 7–12</w:t>
            </w:r>
          </w:p>
        </w:tc>
        <w:tc>
          <w:tcPr>
            <w:tcW w:type="dxa" w:w="3135"/>
            <w:shd w:val="clear" w:color="auto" w:fill="EBF3FB"/>
          </w:tcPr>
          <w:p>
            <w:r>
              <w:rPr>
                <w:rFonts w:ascii="Calibri" w:hAnsi="Calibri"/>
                <w:color w:val="00B0A4"/>
                <w:sz w:val="18"/>
              </w:rPr>
              <w:t>Operations</w:t>
            </w:r>
          </w:p>
        </w:tc>
      </w:tr>
      <w:tr>
        <w:tc>
          <w:tcPr>
            <w:tcW w:type="dxa" w:w="3135"/>
            <w:shd w:val="clear" w:color="auto" w:fill="FFFFFF"/>
          </w:tcPr>
          <w:p>
            <w:r>
              <w:rPr>
                <w:rFonts w:ascii="Calibri" w:hAnsi="Calibri"/>
                <w:color w:val="1F3864"/>
                <w:sz w:val="18"/>
              </w:rPr>
              <w:t>Phase 1 Go-Live &amp; hypercare</w:t>
            </w:r>
          </w:p>
        </w:tc>
        <w:tc>
          <w:tcPr>
            <w:tcW w:type="dxa" w:w="3135"/>
            <w:shd w:val="clear" w:color="auto" w:fill="FFFFFF"/>
          </w:tcPr>
          <w:p>
            <w:r>
              <w:rPr>
                <w:rFonts w:ascii="Calibri" w:hAnsi="Calibri"/>
                <w:color w:val="595959"/>
                <w:sz w:val="18"/>
              </w:rPr>
              <w:t>Week 13</w:t>
            </w:r>
          </w:p>
        </w:tc>
        <w:tc>
          <w:tcPr>
            <w:tcW w:type="dxa" w:w="3135"/>
            <w:shd w:val="clear" w:color="auto" w:fill="FFFFFF"/>
          </w:tcPr>
          <w:p>
            <w:r>
              <w:rPr>
                <w:rFonts w:ascii="Calibri" w:hAnsi="Calibri"/>
                <w:color w:val="00B0A4"/>
                <w:sz w:val="18"/>
              </w:rPr>
              <w:t>All teams</w:t>
            </w:r>
          </w:p>
        </w:tc>
      </w:tr>
    </w:tbl>
    <w:p>
      <w:pPr>
        <w:spacing w:before="80"/>
      </w:pPr>
      <w:r>
        <w:rPr>
          <w:rFonts w:ascii="Calibri" w:hAnsi="Calibri"/>
          <w:b/>
          <w:color w:val="70AD47"/>
          <w:sz w:val="20"/>
        </w:rPr>
        <w:t>✓  Deliverable: 100% digital order capture; single-entry OMS live; email orders eliminated.</w:t>
      </w:r>
    </w:p>
    <w:p>
      <w:pPr>
        <w:spacing w:before="200"/>
      </w:pPr>
      <w:r>
        <w:rPr>
          <w:rFonts w:ascii="Calibri" w:hAnsi="Calibri"/>
          <w:b/>
          <w:color w:val="2E75B6"/>
          <w:sz w:val="24"/>
        </w:rPr>
        <w:t>PHASE 2: Integration  (Months 4–6)</w:t>
      </w:r>
    </w:p>
    <w:p>
      <w:pPr>
        <w:spacing w:before="40" w:after="40" w:line="360" w:lineRule="auto"/>
        <w:jc w:val="both"/>
      </w:pPr>
      <w:r>
        <w:rPr>
          <w:rFonts w:ascii="Calibri" w:hAnsi="Calibri"/>
          <w:b w:val="0"/>
          <w:i/>
          <w:color w:val="595959"/>
          <w:sz w:val="20"/>
        </w:rPr>
        <w:t>Objectives: Full ERP/WMS integration, automated invoicing, real-time stock visibility.</w:t>
      </w:r>
    </w:p>
    <w:tbl>
      <w:tblPr>
        <w:tblStyle w:val="TableGrid"/>
        <w:tblW w:type="auto" w:w="0"/>
        <w:jc w:val="center"/>
        <w:tblLook w:firstColumn="1" w:firstRow="1" w:lastColumn="0" w:lastRow="0" w:noHBand="0" w:noVBand="1" w:val="04A0"/>
      </w:tblPr>
      <w:tblGrid>
        <w:gridCol w:w="4320"/>
        <w:gridCol w:w="1872"/>
        <w:gridCol w:w="2160"/>
      </w:tblGrid>
      <w:tr>
        <w:tc>
          <w:tcPr>
            <w:tcW w:type="dxa" w:w="3135"/>
            <w:shd w:val="clear" w:color="auto" w:fill="2E75B6"/>
          </w:tcPr>
          <w:p>
            <w:pPr>
              <w:jc w:val="center"/>
            </w:pPr>
            <w:r>
              <w:rPr>
                <w:rFonts w:ascii="Calibri" w:hAnsi="Calibri"/>
                <w:b/>
                <w:color w:val="FFFFFF"/>
                <w:sz w:val="18"/>
              </w:rPr>
              <w:t>Milestone</w:t>
            </w:r>
          </w:p>
        </w:tc>
        <w:tc>
          <w:tcPr>
            <w:tcW w:type="dxa" w:w="3135"/>
            <w:shd w:val="clear" w:color="auto" w:fill="2E75B6"/>
          </w:tcPr>
          <w:p>
            <w:pPr>
              <w:jc w:val="center"/>
            </w:pPr>
            <w:r>
              <w:rPr>
                <w:rFonts w:ascii="Calibri" w:hAnsi="Calibri"/>
                <w:b/>
                <w:color w:val="FFFFFF"/>
                <w:sz w:val="18"/>
              </w:rPr>
              <w:t>Timeline</w:t>
            </w:r>
          </w:p>
        </w:tc>
        <w:tc>
          <w:tcPr>
            <w:tcW w:type="dxa" w:w="3135"/>
            <w:shd w:val="clear" w:color="auto" w:fill="2E75B6"/>
          </w:tcPr>
          <w:p>
            <w:pPr>
              <w:jc w:val="center"/>
            </w:pPr>
            <w:r>
              <w:rPr>
                <w:rFonts w:ascii="Calibri" w:hAnsi="Calibri"/>
                <w:b/>
                <w:color w:val="FFFFFF"/>
                <w:sz w:val="18"/>
              </w:rPr>
              <w:t>Owner</w:t>
            </w:r>
          </w:p>
        </w:tc>
      </w:tr>
      <w:tr>
        <w:tc>
          <w:tcPr>
            <w:tcW w:type="dxa" w:w="3135"/>
            <w:shd w:val="clear" w:color="auto" w:fill="EBF3FB"/>
          </w:tcPr>
          <w:p>
            <w:r>
              <w:rPr>
                <w:rFonts w:ascii="Calibri" w:hAnsi="Calibri"/>
                <w:color w:val="1F3864"/>
                <w:sz w:val="18"/>
              </w:rPr>
              <w:t>Full ERP/WMS bidirectional API</w:t>
            </w:r>
          </w:p>
        </w:tc>
        <w:tc>
          <w:tcPr>
            <w:tcW w:type="dxa" w:w="3135"/>
            <w:shd w:val="clear" w:color="auto" w:fill="EBF3FB"/>
          </w:tcPr>
          <w:p>
            <w:r>
              <w:rPr>
                <w:rFonts w:ascii="Calibri" w:hAnsi="Calibri"/>
                <w:color w:val="595959"/>
                <w:sz w:val="18"/>
              </w:rPr>
              <w:t>Weeks 13–17</w:t>
            </w:r>
          </w:p>
        </w:tc>
        <w:tc>
          <w:tcPr>
            <w:tcW w:type="dxa" w:w="3135"/>
            <w:shd w:val="clear" w:color="auto" w:fill="EBF3FB"/>
          </w:tcPr>
          <w:p>
            <w:r>
              <w:rPr>
                <w:rFonts w:ascii="Calibri" w:hAnsi="Calibri"/>
                <w:color w:val="00B0A4"/>
                <w:sz w:val="18"/>
              </w:rPr>
              <w:t>IT</w:t>
            </w:r>
          </w:p>
        </w:tc>
      </w:tr>
      <w:tr>
        <w:tc>
          <w:tcPr>
            <w:tcW w:type="dxa" w:w="3135"/>
            <w:shd w:val="clear" w:color="auto" w:fill="FFFFFF"/>
          </w:tcPr>
          <w:p>
            <w:r>
              <w:rPr>
                <w:rFonts w:ascii="Calibri" w:hAnsi="Calibri"/>
                <w:color w:val="1F3864"/>
                <w:sz w:val="18"/>
              </w:rPr>
              <w:t>Automated invoice generation</w:t>
            </w:r>
          </w:p>
        </w:tc>
        <w:tc>
          <w:tcPr>
            <w:tcW w:type="dxa" w:w="3135"/>
            <w:shd w:val="clear" w:color="auto" w:fill="FFFFFF"/>
          </w:tcPr>
          <w:p>
            <w:r>
              <w:rPr>
                <w:rFonts w:ascii="Calibri" w:hAnsi="Calibri"/>
                <w:color w:val="595959"/>
                <w:sz w:val="18"/>
              </w:rPr>
              <w:t>Weeks 14–18</w:t>
            </w:r>
          </w:p>
        </w:tc>
        <w:tc>
          <w:tcPr>
            <w:tcW w:type="dxa" w:w="3135"/>
            <w:shd w:val="clear" w:color="auto" w:fill="FFFFFF"/>
          </w:tcPr>
          <w:p>
            <w:r>
              <w:rPr>
                <w:rFonts w:ascii="Calibri" w:hAnsi="Calibri"/>
                <w:color w:val="00B0A4"/>
                <w:sz w:val="18"/>
              </w:rPr>
              <w:t>IT + Finance</w:t>
            </w:r>
          </w:p>
        </w:tc>
      </w:tr>
      <w:tr>
        <w:tc>
          <w:tcPr>
            <w:tcW w:type="dxa" w:w="3135"/>
            <w:shd w:val="clear" w:color="auto" w:fill="EBF3FB"/>
          </w:tcPr>
          <w:p>
            <w:r>
              <w:rPr>
                <w:rFonts w:ascii="Calibri" w:hAnsi="Calibri"/>
                <w:color w:val="1F3864"/>
                <w:sz w:val="18"/>
              </w:rPr>
              <w:t>WhatsApp Business API setup</w:t>
            </w:r>
          </w:p>
        </w:tc>
        <w:tc>
          <w:tcPr>
            <w:tcW w:type="dxa" w:w="3135"/>
            <w:shd w:val="clear" w:color="auto" w:fill="EBF3FB"/>
          </w:tcPr>
          <w:p>
            <w:r>
              <w:rPr>
                <w:rFonts w:ascii="Calibri" w:hAnsi="Calibri"/>
                <w:color w:val="595959"/>
                <w:sz w:val="18"/>
              </w:rPr>
              <w:t>Weeks 16–20</w:t>
            </w:r>
          </w:p>
        </w:tc>
        <w:tc>
          <w:tcPr>
            <w:tcW w:type="dxa" w:w="3135"/>
            <w:shd w:val="clear" w:color="auto" w:fill="EBF3FB"/>
          </w:tcPr>
          <w:p>
            <w:r>
              <w:rPr>
                <w:rFonts w:ascii="Calibri" w:hAnsi="Calibri"/>
                <w:color w:val="00B0A4"/>
                <w:sz w:val="18"/>
              </w:rPr>
              <w:t>IT + Marketing</w:t>
            </w:r>
          </w:p>
        </w:tc>
      </w:tr>
      <w:tr>
        <w:tc>
          <w:tcPr>
            <w:tcW w:type="dxa" w:w="3135"/>
            <w:shd w:val="clear" w:color="auto" w:fill="FFFFFF"/>
          </w:tcPr>
          <w:p>
            <w:r>
              <w:rPr>
                <w:rFonts w:ascii="Calibri" w:hAnsi="Calibri"/>
                <w:color w:val="1F3864"/>
                <w:sz w:val="18"/>
              </w:rPr>
              <w:t>Customer tracking portal launch</w:t>
            </w:r>
          </w:p>
        </w:tc>
        <w:tc>
          <w:tcPr>
            <w:tcW w:type="dxa" w:w="3135"/>
            <w:shd w:val="clear" w:color="auto" w:fill="FFFFFF"/>
          </w:tcPr>
          <w:p>
            <w:r>
              <w:rPr>
                <w:rFonts w:ascii="Calibri" w:hAnsi="Calibri"/>
                <w:color w:val="595959"/>
                <w:sz w:val="18"/>
              </w:rPr>
              <w:t>Weeks 18–22</w:t>
            </w:r>
          </w:p>
        </w:tc>
        <w:tc>
          <w:tcPr>
            <w:tcW w:type="dxa" w:w="3135"/>
            <w:shd w:val="clear" w:color="auto" w:fill="FFFFFF"/>
          </w:tcPr>
          <w:p>
            <w:r>
              <w:rPr>
                <w:rFonts w:ascii="Calibri" w:hAnsi="Calibri"/>
                <w:color w:val="00B0A4"/>
                <w:sz w:val="18"/>
              </w:rPr>
              <w:t>IT + Operations</w:t>
            </w:r>
          </w:p>
        </w:tc>
      </w:tr>
      <w:tr>
        <w:tc>
          <w:tcPr>
            <w:tcW w:type="dxa" w:w="3135"/>
            <w:shd w:val="clear" w:color="auto" w:fill="EBF3FB"/>
          </w:tcPr>
          <w:p>
            <w:r>
              <w:rPr>
                <w:rFonts w:ascii="Calibri" w:hAnsi="Calibri"/>
                <w:color w:val="1F3864"/>
                <w:sz w:val="18"/>
              </w:rPr>
              <w:t>Management KPI dashboard</w:t>
            </w:r>
          </w:p>
        </w:tc>
        <w:tc>
          <w:tcPr>
            <w:tcW w:type="dxa" w:w="3135"/>
            <w:shd w:val="clear" w:color="auto" w:fill="EBF3FB"/>
          </w:tcPr>
          <w:p>
            <w:r>
              <w:rPr>
                <w:rFonts w:ascii="Calibri" w:hAnsi="Calibri"/>
                <w:color w:val="595959"/>
                <w:sz w:val="18"/>
              </w:rPr>
              <w:t>Weeks 20–24</w:t>
            </w:r>
          </w:p>
        </w:tc>
        <w:tc>
          <w:tcPr>
            <w:tcW w:type="dxa" w:w="3135"/>
            <w:shd w:val="clear" w:color="auto" w:fill="EBF3FB"/>
          </w:tcPr>
          <w:p>
            <w:r>
              <w:rPr>
                <w:rFonts w:ascii="Calibri" w:hAnsi="Calibri"/>
                <w:color w:val="00B0A4"/>
                <w:sz w:val="18"/>
              </w:rPr>
              <w:t>Analytics + Management</w:t>
            </w:r>
          </w:p>
        </w:tc>
      </w:tr>
      <w:tr>
        <w:tc>
          <w:tcPr>
            <w:tcW w:type="dxa" w:w="3135"/>
            <w:shd w:val="clear" w:color="auto" w:fill="FFFFFF"/>
          </w:tcPr>
          <w:p>
            <w:r>
              <w:rPr>
                <w:rFonts w:ascii="Calibri" w:hAnsi="Calibri"/>
                <w:color w:val="1F3864"/>
                <w:sz w:val="18"/>
              </w:rPr>
              <w:t>Phase 2 sign-off &amp; review</w:t>
            </w:r>
          </w:p>
        </w:tc>
        <w:tc>
          <w:tcPr>
            <w:tcW w:type="dxa" w:w="3135"/>
            <w:shd w:val="clear" w:color="auto" w:fill="FFFFFF"/>
          </w:tcPr>
          <w:p>
            <w:r>
              <w:rPr>
                <w:rFonts w:ascii="Calibri" w:hAnsi="Calibri"/>
                <w:color w:val="595959"/>
                <w:sz w:val="18"/>
              </w:rPr>
              <w:t>Week 24</w:t>
            </w:r>
          </w:p>
        </w:tc>
        <w:tc>
          <w:tcPr>
            <w:tcW w:type="dxa" w:w="3135"/>
            <w:shd w:val="clear" w:color="auto" w:fill="FFFFFF"/>
          </w:tcPr>
          <w:p>
            <w:r>
              <w:rPr>
                <w:rFonts w:ascii="Calibri" w:hAnsi="Calibri"/>
                <w:color w:val="00B0A4"/>
                <w:sz w:val="18"/>
              </w:rPr>
              <w:t>All teams</w:t>
            </w:r>
          </w:p>
        </w:tc>
      </w:tr>
    </w:tbl>
    <w:p>
      <w:pPr>
        <w:spacing w:before="80"/>
      </w:pPr>
      <w:r>
        <w:rPr>
          <w:rFonts w:ascii="Calibri" w:hAnsi="Calibri"/>
          <w:b/>
          <w:color w:val="70AD47"/>
          <w:sz w:val="20"/>
        </w:rPr>
        <w:t>✓  Deliverable: End-to-end system integration; real-time inventory; auto-invoicing live.</w:t>
      </w:r>
    </w:p>
    <w:p>
      <w:pPr>
        <w:spacing w:before="200"/>
      </w:pPr>
      <w:r>
        <w:rPr>
          <w:rFonts w:ascii="Calibri" w:hAnsi="Calibri"/>
          <w:b/>
          <w:color w:val="375623"/>
          <w:sz w:val="24"/>
        </w:rPr>
        <w:t>PHASE 3: Optimization  (Months 7–9)</w:t>
      </w:r>
    </w:p>
    <w:p>
      <w:pPr>
        <w:spacing w:before="40" w:after="40" w:line="360" w:lineRule="auto"/>
        <w:jc w:val="both"/>
      </w:pPr>
      <w:r>
        <w:rPr>
          <w:rFonts w:ascii="Calibri" w:hAnsi="Calibri"/>
          <w:b w:val="0"/>
          <w:i/>
          <w:color w:val="595959"/>
          <w:sz w:val="20"/>
        </w:rPr>
        <w:t>Objectives: Advanced analytics, demand forecasting, EDI for key accounts.</w:t>
      </w:r>
    </w:p>
    <w:tbl>
      <w:tblPr>
        <w:tblStyle w:val="TableGrid"/>
        <w:tblW w:type="auto" w:w="0"/>
        <w:jc w:val="center"/>
        <w:tblLook w:firstColumn="1" w:firstRow="1" w:lastColumn="0" w:lastRow="0" w:noHBand="0" w:noVBand="1" w:val="04A0"/>
      </w:tblPr>
      <w:tblGrid>
        <w:gridCol w:w="4320"/>
        <w:gridCol w:w="1872"/>
        <w:gridCol w:w="2160"/>
      </w:tblGrid>
      <w:tr>
        <w:tc>
          <w:tcPr>
            <w:tcW w:type="dxa" w:w="3135"/>
            <w:shd w:val="clear" w:color="auto" w:fill="375623"/>
          </w:tcPr>
          <w:p>
            <w:pPr>
              <w:jc w:val="center"/>
            </w:pPr>
            <w:r>
              <w:rPr>
                <w:rFonts w:ascii="Calibri" w:hAnsi="Calibri"/>
                <w:b/>
                <w:color w:val="FFFFFF"/>
                <w:sz w:val="18"/>
              </w:rPr>
              <w:t>Milestone</w:t>
            </w:r>
          </w:p>
        </w:tc>
        <w:tc>
          <w:tcPr>
            <w:tcW w:type="dxa" w:w="3135"/>
            <w:shd w:val="clear" w:color="auto" w:fill="375623"/>
          </w:tcPr>
          <w:p>
            <w:pPr>
              <w:jc w:val="center"/>
            </w:pPr>
            <w:r>
              <w:rPr>
                <w:rFonts w:ascii="Calibri" w:hAnsi="Calibri"/>
                <w:b/>
                <w:color w:val="FFFFFF"/>
                <w:sz w:val="18"/>
              </w:rPr>
              <w:t>Timeline</w:t>
            </w:r>
          </w:p>
        </w:tc>
        <w:tc>
          <w:tcPr>
            <w:tcW w:type="dxa" w:w="3135"/>
            <w:shd w:val="clear" w:color="auto" w:fill="375623"/>
          </w:tcPr>
          <w:p>
            <w:pPr>
              <w:jc w:val="center"/>
            </w:pPr>
            <w:r>
              <w:rPr>
                <w:rFonts w:ascii="Calibri" w:hAnsi="Calibri"/>
                <w:b/>
                <w:color w:val="FFFFFF"/>
                <w:sz w:val="18"/>
              </w:rPr>
              <w:t>Owner</w:t>
            </w:r>
          </w:p>
        </w:tc>
      </w:tr>
      <w:tr>
        <w:tc>
          <w:tcPr>
            <w:tcW w:type="dxa" w:w="3135"/>
            <w:shd w:val="clear" w:color="auto" w:fill="EBF3FB"/>
          </w:tcPr>
          <w:p>
            <w:r>
              <w:rPr>
                <w:rFonts w:ascii="Calibri" w:hAnsi="Calibri"/>
                <w:color w:val="1F3864"/>
                <w:sz w:val="18"/>
              </w:rPr>
              <w:t>Demand forecasting module</w:t>
            </w:r>
          </w:p>
        </w:tc>
        <w:tc>
          <w:tcPr>
            <w:tcW w:type="dxa" w:w="3135"/>
            <w:shd w:val="clear" w:color="auto" w:fill="EBF3FB"/>
          </w:tcPr>
          <w:p>
            <w:r>
              <w:rPr>
                <w:rFonts w:ascii="Calibri" w:hAnsi="Calibri"/>
                <w:color w:val="595959"/>
                <w:sz w:val="18"/>
              </w:rPr>
              <w:t>Weeks 25–30</w:t>
            </w:r>
          </w:p>
        </w:tc>
        <w:tc>
          <w:tcPr>
            <w:tcW w:type="dxa" w:w="3135"/>
            <w:shd w:val="clear" w:color="auto" w:fill="EBF3FB"/>
          </w:tcPr>
          <w:p>
            <w:r>
              <w:rPr>
                <w:rFonts w:ascii="Calibri" w:hAnsi="Calibri"/>
                <w:color w:val="00B0A4"/>
                <w:sz w:val="18"/>
              </w:rPr>
              <w:t>Analytics</w:t>
            </w:r>
          </w:p>
        </w:tc>
      </w:tr>
      <w:tr>
        <w:tc>
          <w:tcPr>
            <w:tcW w:type="dxa" w:w="3135"/>
            <w:shd w:val="clear" w:color="auto" w:fill="FFFFFF"/>
          </w:tcPr>
          <w:p>
            <w:r>
              <w:rPr>
                <w:rFonts w:ascii="Calibri" w:hAnsi="Calibri"/>
                <w:color w:val="1F3864"/>
                <w:sz w:val="18"/>
              </w:rPr>
              <w:t>EDI setup with top-5 accounts</w:t>
            </w:r>
          </w:p>
        </w:tc>
        <w:tc>
          <w:tcPr>
            <w:tcW w:type="dxa" w:w="3135"/>
            <w:shd w:val="clear" w:color="auto" w:fill="FFFFFF"/>
          </w:tcPr>
          <w:p>
            <w:r>
              <w:rPr>
                <w:rFonts w:ascii="Calibri" w:hAnsi="Calibri"/>
                <w:color w:val="595959"/>
                <w:sz w:val="18"/>
              </w:rPr>
              <w:t>Weeks 26–32</w:t>
            </w:r>
          </w:p>
        </w:tc>
        <w:tc>
          <w:tcPr>
            <w:tcW w:type="dxa" w:w="3135"/>
            <w:shd w:val="clear" w:color="auto" w:fill="FFFFFF"/>
          </w:tcPr>
          <w:p>
            <w:r>
              <w:rPr>
                <w:rFonts w:ascii="Calibri" w:hAnsi="Calibri"/>
                <w:color w:val="00B0A4"/>
                <w:sz w:val="18"/>
              </w:rPr>
              <w:t>IT + Sales</w:t>
            </w:r>
          </w:p>
        </w:tc>
      </w:tr>
      <w:tr>
        <w:tc>
          <w:tcPr>
            <w:tcW w:type="dxa" w:w="3135"/>
            <w:shd w:val="clear" w:color="auto" w:fill="EBF3FB"/>
          </w:tcPr>
          <w:p>
            <w:r>
              <w:rPr>
                <w:rFonts w:ascii="Calibri" w:hAnsi="Calibri"/>
                <w:color w:val="1F3864"/>
                <w:sz w:val="18"/>
              </w:rPr>
              <w:t>Automated credit limit rules</w:t>
            </w:r>
          </w:p>
        </w:tc>
        <w:tc>
          <w:tcPr>
            <w:tcW w:type="dxa" w:w="3135"/>
            <w:shd w:val="clear" w:color="auto" w:fill="EBF3FB"/>
          </w:tcPr>
          <w:p>
            <w:r>
              <w:rPr>
                <w:rFonts w:ascii="Calibri" w:hAnsi="Calibri"/>
                <w:color w:val="595959"/>
                <w:sz w:val="18"/>
              </w:rPr>
              <w:t>Weeks 28–33</w:t>
            </w:r>
          </w:p>
        </w:tc>
        <w:tc>
          <w:tcPr>
            <w:tcW w:type="dxa" w:w="3135"/>
            <w:shd w:val="clear" w:color="auto" w:fill="EBF3FB"/>
          </w:tcPr>
          <w:p>
            <w:r>
              <w:rPr>
                <w:rFonts w:ascii="Calibri" w:hAnsi="Calibri"/>
                <w:color w:val="00B0A4"/>
                <w:sz w:val="18"/>
              </w:rPr>
              <w:t>Finance + IT</w:t>
            </w:r>
          </w:p>
        </w:tc>
      </w:tr>
      <w:tr>
        <w:tc>
          <w:tcPr>
            <w:tcW w:type="dxa" w:w="3135"/>
            <w:shd w:val="clear" w:color="auto" w:fill="FFFFFF"/>
          </w:tcPr>
          <w:p>
            <w:r>
              <w:rPr>
                <w:rFonts w:ascii="Calibri" w:hAnsi="Calibri"/>
                <w:color w:val="1F3864"/>
                <w:sz w:val="18"/>
              </w:rPr>
              <w:t>NPS automation &amp; feedback loop</w:t>
            </w:r>
          </w:p>
        </w:tc>
        <w:tc>
          <w:tcPr>
            <w:tcW w:type="dxa" w:w="3135"/>
            <w:shd w:val="clear" w:color="auto" w:fill="FFFFFF"/>
          </w:tcPr>
          <w:p>
            <w:r>
              <w:rPr>
                <w:rFonts w:ascii="Calibri" w:hAnsi="Calibri"/>
                <w:color w:val="595959"/>
                <w:sz w:val="18"/>
              </w:rPr>
              <w:t>Weeks 30–34</w:t>
            </w:r>
          </w:p>
        </w:tc>
        <w:tc>
          <w:tcPr>
            <w:tcW w:type="dxa" w:w="3135"/>
            <w:shd w:val="clear" w:color="auto" w:fill="FFFFFF"/>
          </w:tcPr>
          <w:p>
            <w:r>
              <w:rPr>
                <w:rFonts w:ascii="Calibri" w:hAnsi="Calibri"/>
                <w:color w:val="00B0A4"/>
                <w:sz w:val="18"/>
              </w:rPr>
              <w:t>Customer Success</w:t>
            </w:r>
          </w:p>
        </w:tc>
      </w:tr>
      <w:tr>
        <w:tc>
          <w:tcPr>
            <w:tcW w:type="dxa" w:w="3135"/>
            <w:shd w:val="clear" w:color="auto" w:fill="EBF3FB"/>
          </w:tcPr>
          <w:p>
            <w:r>
              <w:rPr>
                <w:rFonts w:ascii="Calibri" w:hAnsi="Calibri"/>
                <w:color w:val="1F3864"/>
                <w:sz w:val="18"/>
              </w:rPr>
              <w:t>Performance review &amp; optimization</w:t>
            </w:r>
          </w:p>
        </w:tc>
        <w:tc>
          <w:tcPr>
            <w:tcW w:type="dxa" w:w="3135"/>
            <w:shd w:val="clear" w:color="auto" w:fill="EBF3FB"/>
          </w:tcPr>
          <w:p>
            <w:r>
              <w:rPr>
                <w:rFonts w:ascii="Calibri" w:hAnsi="Calibri"/>
                <w:color w:val="595959"/>
                <w:sz w:val="18"/>
              </w:rPr>
              <w:t>Weeks 34–36</w:t>
            </w:r>
          </w:p>
        </w:tc>
        <w:tc>
          <w:tcPr>
            <w:tcW w:type="dxa" w:w="3135"/>
            <w:shd w:val="clear" w:color="auto" w:fill="EBF3FB"/>
          </w:tcPr>
          <w:p>
            <w:r>
              <w:rPr>
                <w:rFonts w:ascii="Calibri" w:hAnsi="Calibri"/>
                <w:color w:val="00B0A4"/>
                <w:sz w:val="18"/>
              </w:rPr>
              <w:t>Consultant + Management</w:t>
            </w:r>
          </w:p>
        </w:tc>
      </w:tr>
      <w:tr>
        <w:tc>
          <w:tcPr>
            <w:tcW w:type="dxa" w:w="3135"/>
            <w:shd w:val="clear" w:color="auto" w:fill="FFFFFF"/>
          </w:tcPr>
          <w:p>
            <w:r>
              <w:rPr>
                <w:rFonts w:ascii="Calibri" w:hAnsi="Calibri"/>
                <w:color w:val="1F3864"/>
                <w:sz w:val="18"/>
              </w:rPr>
              <w:t>Full handover &amp; documentation</w:t>
            </w:r>
          </w:p>
        </w:tc>
        <w:tc>
          <w:tcPr>
            <w:tcW w:type="dxa" w:w="3135"/>
            <w:shd w:val="clear" w:color="auto" w:fill="FFFFFF"/>
          </w:tcPr>
          <w:p>
            <w:r>
              <w:rPr>
                <w:rFonts w:ascii="Calibri" w:hAnsi="Calibri"/>
                <w:color w:val="595959"/>
                <w:sz w:val="18"/>
              </w:rPr>
              <w:t>Week 36</w:t>
            </w:r>
          </w:p>
        </w:tc>
        <w:tc>
          <w:tcPr>
            <w:tcW w:type="dxa" w:w="3135"/>
            <w:shd w:val="clear" w:color="auto" w:fill="FFFFFF"/>
          </w:tcPr>
          <w:p>
            <w:r>
              <w:rPr>
                <w:rFonts w:ascii="Calibri" w:hAnsi="Calibri"/>
                <w:color w:val="00B0A4"/>
                <w:sz w:val="18"/>
              </w:rPr>
              <w:t>Consultant</w:t>
            </w:r>
          </w:p>
        </w:tc>
      </w:tr>
    </w:tbl>
    <w:p>
      <w:pPr>
        <w:spacing w:before="80"/>
      </w:pPr>
      <w:r>
        <w:rPr>
          <w:rFonts w:ascii="Calibri" w:hAnsi="Calibri"/>
          <w:b/>
          <w:color w:val="70AD47"/>
          <w:sz w:val="20"/>
        </w:rPr>
        <w:t>✓  Deliverable: Full automation achieved; analytics dashboard; continuous improvement cycle.</w:t>
      </w:r>
    </w:p>
    <w:p>
      <w:r>
        <w:br w:type="page"/>
      </w:r>
    </w:p>
    <w:p>
      <w:pPr>
        <w:spacing w:before="240" w:after="80"/>
        <w:jc w:val="left"/>
      </w:pPr>
      <w:r>
        <w:rPr>
          <w:rFonts w:ascii="Calibri" w:hAnsi="Calibri"/>
          <w:b/>
          <w:color w:val="1F3864"/>
          <w:sz w:val="32"/>
        </w:rPr>
        <w:t>APPENDIX — DATASET SUMMARY &amp; METHODOLOGY</w:t>
      </w:r>
    </w:p>
    <w:p>
      <w:pPr>
        <w:spacing w:before="80" w:after="80"/>
        <w:pBdr>
          <w:bottom w:val="single" w:sz="6" w:space="1" w:color="2E75B6"/>
        </w:pBdr>
      </w:pPr>
    </w:p>
    <w:p>
      <w:pPr>
        <w:spacing w:before="160" w:after="60"/>
      </w:pPr>
      <w:r>
        <w:rPr>
          <w:rFonts w:ascii="Calibri" w:hAnsi="Calibri"/>
          <w:b/>
          <w:color w:val="2E75B6"/>
          <w:sz w:val="26"/>
        </w:rPr>
        <w:t>Data Collection Methodology</w:t>
      </w:r>
    </w:p>
    <w:p>
      <w:pPr>
        <w:spacing w:before="60" w:after="60" w:line="360" w:lineRule="auto"/>
        <w:jc w:val="both"/>
      </w:pPr>
      <w:r>
        <w:rPr>
          <w:rFonts w:ascii="Calibri" w:hAnsi="Calibri"/>
          <w:b w:val="0"/>
          <w:i w:val="0"/>
          <w:color w:val="595959"/>
          <w:sz w:val="21"/>
        </w:rPr>
        <w:t>The dataset (Order_Process_Dataset.xlsx) contains 520 order records drawn from operational logs spanning January–December 2024. Data was collected by exporting records from the shared Excel order tracker, supplemented by manual time measurements conducted over a 4-week observation period. Processing times were validated against email timestamps and system logs where available. Error classifications were defined in consultation with the operations team.</w:t>
      </w:r>
    </w:p>
    <w:p>
      <w:pPr>
        <w:spacing w:before="160" w:after="60"/>
      </w:pPr>
      <w:r>
        <w:rPr>
          <w:rFonts w:ascii="Calibri" w:hAnsi="Calibri"/>
          <w:b/>
          <w:color w:val="2E75B6"/>
          <w:sz w:val="26"/>
        </w:rPr>
        <w:t>Dataset Fields</w:t>
      </w:r>
    </w:p>
    <w:tbl>
      <w:tblPr>
        <w:tblStyle w:val="TableGrid"/>
        <w:tblW w:type="auto" w:w="0"/>
        <w:jc w:val="center"/>
        <w:tblLook w:firstColumn="1" w:firstRow="1" w:lastColumn="0" w:lastRow="0" w:noHBand="0" w:noVBand="1" w:val="04A0"/>
      </w:tblPr>
      <w:tblGrid>
        <w:gridCol w:w="3312"/>
        <w:gridCol w:w="6768"/>
      </w:tblGrid>
      <w:tr>
        <w:tc>
          <w:tcPr>
            <w:tcW w:type="dxa" w:w="4703"/>
            <w:shd w:val="clear" w:color="auto" w:fill="595959"/>
          </w:tcPr>
          <w:p>
            <w:pPr>
              <w:jc w:val="center"/>
            </w:pPr>
            <w:r>
              <w:rPr>
                <w:rFonts w:ascii="Calibri" w:hAnsi="Calibri"/>
                <w:b/>
                <w:color w:val="FFFFFF"/>
                <w:sz w:val="19"/>
              </w:rPr>
              <w:t>Field Name</w:t>
            </w:r>
          </w:p>
        </w:tc>
        <w:tc>
          <w:tcPr>
            <w:tcW w:type="dxa" w:w="4703"/>
            <w:shd w:val="clear" w:color="auto" w:fill="595959"/>
          </w:tcPr>
          <w:p>
            <w:pPr>
              <w:jc w:val="center"/>
            </w:pPr>
            <w:r>
              <w:rPr>
                <w:rFonts w:ascii="Calibri" w:hAnsi="Calibri"/>
                <w:b/>
                <w:color w:val="FFFFFF"/>
                <w:sz w:val="19"/>
              </w:rPr>
              <w:t>Description</w:t>
            </w:r>
          </w:p>
        </w:tc>
      </w:tr>
      <w:tr>
        <w:tc>
          <w:tcPr>
            <w:tcW w:type="dxa" w:w="4703"/>
            <w:shd w:val="clear" w:color="auto" w:fill="F2F2F2"/>
          </w:tcPr>
          <w:p>
            <w:r>
              <w:rPr>
                <w:rFonts w:ascii="Calibri" w:hAnsi="Calibri"/>
                <w:b/>
                <w:color w:val="1F3864"/>
                <w:sz w:val="18"/>
              </w:rPr>
              <w:t>order_id</w:t>
            </w:r>
          </w:p>
        </w:tc>
        <w:tc>
          <w:tcPr>
            <w:tcW w:type="dxa" w:w="4703"/>
            <w:shd w:val="clear" w:color="auto" w:fill="F2F2F2"/>
          </w:tcPr>
          <w:p>
            <w:r>
              <w:rPr>
                <w:rFonts w:ascii="Calibri" w:hAnsi="Calibri"/>
                <w:color w:val="595959"/>
                <w:sz w:val="18"/>
              </w:rPr>
              <w:t>Unique order identifier (ORD-2024-XXXX)</w:t>
            </w:r>
          </w:p>
        </w:tc>
      </w:tr>
      <w:tr>
        <w:tc>
          <w:tcPr>
            <w:tcW w:type="dxa" w:w="4703"/>
            <w:shd w:val="clear" w:color="auto" w:fill="FFFFFF"/>
          </w:tcPr>
          <w:p>
            <w:r>
              <w:rPr>
                <w:rFonts w:ascii="Calibri" w:hAnsi="Calibri"/>
                <w:b/>
                <w:color w:val="1F3864"/>
                <w:sz w:val="18"/>
              </w:rPr>
              <w:t>order_date</w:t>
            </w:r>
          </w:p>
        </w:tc>
        <w:tc>
          <w:tcPr>
            <w:tcW w:type="dxa" w:w="4703"/>
            <w:shd w:val="clear" w:color="auto" w:fill="FFFFFF"/>
          </w:tcPr>
          <w:p>
            <w:r>
              <w:rPr>
                <w:rFonts w:ascii="Calibri" w:hAnsi="Calibri"/>
                <w:color w:val="595959"/>
                <w:sz w:val="18"/>
              </w:rPr>
              <w:t>Date order was received (YYYY-MM-DD)</w:t>
            </w:r>
          </w:p>
        </w:tc>
      </w:tr>
      <w:tr>
        <w:tc>
          <w:tcPr>
            <w:tcW w:type="dxa" w:w="4703"/>
            <w:shd w:val="clear" w:color="auto" w:fill="F2F2F2"/>
          </w:tcPr>
          <w:p>
            <w:r>
              <w:rPr>
                <w:rFonts w:ascii="Calibri" w:hAnsi="Calibri"/>
                <w:b/>
                <w:color w:val="1F3864"/>
                <w:sz w:val="18"/>
              </w:rPr>
              <w:t>customer_name</w:t>
            </w:r>
          </w:p>
        </w:tc>
        <w:tc>
          <w:tcPr>
            <w:tcW w:type="dxa" w:w="4703"/>
            <w:shd w:val="clear" w:color="auto" w:fill="F2F2F2"/>
          </w:tcPr>
          <w:p>
            <w:r>
              <w:rPr>
                <w:rFonts w:ascii="Calibri" w:hAnsi="Calibri"/>
                <w:color w:val="595959"/>
                <w:sz w:val="18"/>
              </w:rPr>
              <w:t>Wholesale customer name</w:t>
            </w:r>
          </w:p>
        </w:tc>
      </w:tr>
      <w:tr>
        <w:tc>
          <w:tcPr>
            <w:tcW w:type="dxa" w:w="4703"/>
            <w:shd w:val="clear" w:color="auto" w:fill="FFFFFF"/>
          </w:tcPr>
          <w:p>
            <w:r>
              <w:rPr>
                <w:rFonts w:ascii="Calibri" w:hAnsi="Calibri"/>
                <w:b/>
                <w:color w:val="1F3864"/>
                <w:sz w:val="18"/>
              </w:rPr>
              <w:t>city</w:t>
            </w:r>
          </w:p>
        </w:tc>
        <w:tc>
          <w:tcPr>
            <w:tcW w:type="dxa" w:w="4703"/>
            <w:shd w:val="clear" w:color="auto" w:fill="FFFFFF"/>
          </w:tcPr>
          <w:p>
            <w:r>
              <w:rPr>
                <w:rFonts w:ascii="Calibri" w:hAnsi="Calibri"/>
                <w:color w:val="595959"/>
                <w:sz w:val="18"/>
              </w:rPr>
              <w:t>Delivery destination city</w:t>
            </w:r>
          </w:p>
        </w:tc>
      </w:tr>
      <w:tr>
        <w:tc>
          <w:tcPr>
            <w:tcW w:type="dxa" w:w="4703"/>
            <w:shd w:val="clear" w:color="auto" w:fill="F2F2F2"/>
          </w:tcPr>
          <w:p>
            <w:r>
              <w:rPr>
                <w:rFonts w:ascii="Calibri" w:hAnsi="Calibri"/>
                <w:b/>
                <w:color w:val="1F3864"/>
                <w:sz w:val="18"/>
              </w:rPr>
              <w:t>order_channel</w:t>
            </w:r>
          </w:p>
        </w:tc>
        <w:tc>
          <w:tcPr>
            <w:tcW w:type="dxa" w:w="4703"/>
            <w:shd w:val="clear" w:color="auto" w:fill="F2F2F2"/>
          </w:tcPr>
          <w:p>
            <w:r>
              <w:rPr>
                <w:rFonts w:ascii="Calibri" w:hAnsi="Calibri"/>
                <w:color w:val="595959"/>
                <w:sz w:val="18"/>
              </w:rPr>
              <w:t>Intake channel (Email/WhatsApp/Teléfono/Portal Web)</w:t>
            </w:r>
          </w:p>
        </w:tc>
      </w:tr>
      <w:tr>
        <w:tc>
          <w:tcPr>
            <w:tcW w:type="dxa" w:w="4703"/>
            <w:shd w:val="clear" w:color="auto" w:fill="FFFFFF"/>
          </w:tcPr>
          <w:p>
            <w:r>
              <w:rPr>
                <w:rFonts w:ascii="Calibri" w:hAnsi="Calibri"/>
                <w:b/>
                <w:color w:val="1F3864"/>
                <w:sz w:val="18"/>
              </w:rPr>
              <w:t>order_value</w:t>
            </w:r>
          </w:p>
        </w:tc>
        <w:tc>
          <w:tcPr>
            <w:tcW w:type="dxa" w:w="4703"/>
            <w:shd w:val="clear" w:color="auto" w:fill="FFFFFF"/>
          </w:tcPr>
          <w:p>
            <w:r>
              <w:rPr>
                <w:rFonts w:ascii="Calibri" w:hAnsi="Calibri"/>
                <w:color w:val="595959"/>
                <w:sz w:val="18"/>
              </w:rPr>
              <w:t>Total order value in USD</w:t>
            </w:r>
          </w:p>
        </w:tc>
      </w:tr>
      <w:tr>
        <w:tc>
          <w:tcPr>
            <w:tcW w:type="dxa" w:w="4703"/>
            <w:shd w:val="clear" w:color="auto" w:fill="F2F2F2"/>
          </w:tcPr>
          <w:p>
            <w:r>
              <w:rPr>
                <w:rFonts w:ascii="Calibri" w:hAnsi="Calibri"/>
                <w:b/>
                <w:color w:val="1F3864"/>
                <w:sz w:val="18"/>
              </w:rPr>
              <w:t>processing_time_minutes</w:t>
            </w:r>
          </w:p>
        </w:tc>
        <w:tc>
          <w:tcPr>
            <w:tcW w:type="dxa" w:w="4703"/>
            <w:shd w:val="clear" w:color="auto" w:fill="F2F2F2"/>
          </w:tcPr>
          <w:p>
            <w:r>
              <w:rPr>
                <w:rFonts w:ascii="Calibri" w:hAnsi="Calibri"/>
                <w:color w:val="595959"/>
                <w:sz w:val="18"/>
              </w:rPr>
              <w:t>Time from receipt to order entry completion</w:t>
            </w:r>
          </w:p>
        </w:tc>
      </w:tr>
      <w:tr>
        <w:tc>
          <w:tcPr>
            <w:tcW w:type="dxa" w:w="4703"/>
            <w:shd w:val="clear" w:color="auto" w:fill="FFFFFF"/>
          </w:tcPr>
          <w:p>
            <w:r>
              <w:rPr>
                <w:rFonts w:ascii="Calibri" w:hAnsi="Calibri"/>
                <w:b/>
                <w:color w:val="1F3864"/>
                <w:sz w:val="18"/>
              </w:rPr>
              <w:t>errors_detected</w:t>
            </w:r>
          </w:p>
        </w:tc>
        <w:tc>
          <w:tcPr>
            <w:tcW w:type="dxa" w:w="4703"/>
            <w:shd w:val="clear" w:color="auto" w:fill="FFFFFF"/>
          </w:tcPr>
          <w:p>
            <w:r>
              <w:rPr>
                <w:rFonts w:ascii="Calibri" w:hAnsi="Calibri"/>
                <w:color w:val="595959"/>
                <w:sz w:val="18"/>
              </w:rPr>
              <w:t>Number of errors detected (0, 1, 2, or 3)</w:t>
            </w:r>
          </w:p>
        </w:tc>
      </w:tr>
      <w:tr>
        <w:tc>
          <w:tcPr>
            <w:tcW w:type="dxa" w:w="4703"/>
            <w:shd w:val="clear" w:color="auto" w:fill="F2F2F2"/>
          </w:tcPr>
          <w:p>
            <w:r>
              <w:rPr>
                <w:rFonts w:ascii="Calibri" w:hAnsi="Calibri"/>
                <w:b/>
                <w:color w:val="1F3864"/>
                <w:sz w:val="18"/>
              </w:rPr>
              <w:t>stock_check_time</w:t>
            </w:r>
          </w:p>
        </w:tc>
        <w:tc>
          <w:tcPr>
            <w:tcW w:type="dxa" w:w="4703"/>
            <w:shd w:val="clear" w:color="auto" w:fill="F2F2F2"/>
          </w:tcPr>
          <w:p>
            <w:r>
              <w:rPr>
                <w:rFonts w:ascii="Calibri" w:hAnsi="Calibri"/>
                <w:color w:val="595959"/>
                <w:sz w:val="18"/>
              </w:rPr>
              <w:t>Time taken for inventory verification (minutes)</w:t>
            </w:r>
          </w:p>
        </w:tc>
      </w:tr>
      <w:tr>
        <w:tc>
          <w:tcPr>
            <w:tcW w:type="dxa" w:w="4703"/>
            <w:shd w:val="clear" w:color="auto" w:fill="FFFFFF"/>
          </w:tcPr>
          <w:p>
            <w:r>
              <w:rPr>
                <w:rFonts w:ascii="Calibri" w:hAnsi="Calibri"/>
                <w:b/>
                <w:color w:val="1F3864"/>
                <w:sz w:val="18"/>
              </w:rPr>
              <w:t>invoice_time</w:t>
            </w:r>
          </w:p>
        </w:tc>
        <w:tc>
          <w:tcPr>
            <w:tcW w:type="dxa" w:w="4703"/>
            <w:shd w:val="clear" w:color="auto" w:fill="FFFFFF"/>
          </w:tcPr>
          <w:p>
            <w:r>
              <w:rPr>
                <w:rFonts w:ascii="Calibri" w:hAnsi="Calibri"/>
                <w:color w:val="595959"/>
                <w:sz w:val="18"/>
              </w:rPr>
              <w:t>Time taken to generate invoice (minutes)</w:t>
            </w:r>
          </w:p>
        </w:tc>
      </w:tr>
      <w:tr>
        <w:tc>
          <w:tcPr>
            <w:tcW w:type="dxa" w:w="4703"/>
            <w:shd w:val="clear" w:color="auto" w:fill="F2F2F2"/>
          </w:tcPr>
          <w:p>
            <w:r>
              <w:rPr>
                <w:rFonts w:ascii="Calibri" w:hAnsi="Calibri"/>
                <w:b/>
                <w:color w:val="1F3864"/>
                <w:sz w:val="18"/>
              </w:rPr>
              <w:t>dispatch_time</w:t>
            </w:r>
          </w:p>
        </w:tc>
        <w:tc>
          <w:tcPr>
            <w:tcW w:type="dxa" w:w="4703"/>
            <w:shd w:val="clear" w:color="auto" w:fill="F2F2F2"/>
          </w:tcPr>
          <w:p>
            <w:r>
              <w:rPr>
                <w:rFonts w:ascii="Calibri" w:hAnsi="Calibri"/>
                <w:color w:val="595959"/>
                <w:sz w:val="18"/>
              </w:rPr>
              <w:t>Time to prepare dispatch documentation (minutes)</w:t>
            </w:r>
          </w:p>
        </w:tc>
      </w:tr>
      <w:tr>
        <w:tc>
          <w:tcPr>
            <w:tcW w:type="dxa" w:w="4703"/>
            <w:shd w:val="clear" w:color="auto" w:fill="FFFFFF"/>
          </w:tcPr>
          <w:p>
            <w:r>
              <w:rPr>
                <w:rFonts w:ascii="Calibri" w:hAnsi="Calibri"/>
                <w:b/>
                <w:color w:val="1F3864"/>
                <w:sz w:val="18"/>
              </w:rPr>
              <w:t>order_status</w:t>
            </w:r>
          </w:p>
        </w:tc>
        <w:tc>
          <w:tcPr>
            <w:tcW w:type="dxa" w:w="4703"/>
            <w:shd w:val="clear" w:color="auto" w:fill="FFFFFF"/>
          </w:tcPr>
          <w:p>
            <w:r>
              <w:rPr>
                <w:rFonts w:ascii="Calibri" w:hAnsi="Calibri"/>
                <w:color w:val="595959"/>
                <w:sz w:val="18"/>
              </w:rPr>
              <w:t>Final status: Completado/Pendiente/Con Error/Cancelado/Entregado</w:t>
            </w:r>
          </w:p>
        </w:tc>
      </w:tr>
    </w:tbl>
    <w:p>
      <w:pPr>
        <w:spacing w:before="160" w:after="60"/>
      </w:pPr>
      <w:r>
        <w:rPr>
          <w:rFonts w:ascii="Calibri" w:hAnsi="Calibri"/>
          <w:b/>
          <w:color w:val="2E75B6"/>
          <w:sz w:val="26"/>
        </w:rPr>
        <w:t>Analytical Approach</w:t>
      </w:r>
    </w:p>
    <w:p>
      <w:pPr>
        <w:pStyle w:val="ListBullet"/>
        <w:spacing w:before="40" w:after="40"/>
        <w:ind w:left="432"/>
      </w:pPr>
      <w:r>
        <w:rPr>
          <w:rFonts w:ascii="Calibri" w:hAnsi="Calibri"/>
          <w:color w:val="595959"/>
          <w:sz w:val="20"/>
        </w:rPr>
        <w:t>Descriptive statistics: mean, median, standard deviation for all time-based KPIs</w:t>
      </w:r>
    </w:p>
    <w:p>
      <w:pPr>
        <w:pStyle w:val="ListBullet"/>
        <w:spacing w:before="40" w:after="40"/>
        <w:ind w:left="432"/>
      </w:pPr>
      <w:r>
        <w:rPr>
          <w:rFonts w:ascii="Calibri" w:hAnsi="Calibri"/>
          <w:color w:val="595959"/>
          <w:sz w:val="20"/>
        </w:rPr>
        <w:t>Error rate analysis: segmented by channel, status, and order value band</w:t>
      </w:r>
    </w:p>
    <w:p>
      <w:pPr>
        <w:pStyle w:val="ListBullet"/>
        <w:spacing w:before="40" w:after="40"/>
        <w:ind w:left="432"/>
      </w:pPr>
      <w:r>
        <w:rPr>
          <w:rFonts w:ascii="Calibri" w:hAnsi="Calibri"/>
          <w:color w:val="595959"/>
          <w:sz w:val="20"/>
        </w:rPr>
        <w:t>Process waste analysis using Lean methodology (8 wastes framework)</w:t>
      </w:r>
    </w:p>
    <w:p>
      <w:pPr>
        <w:pStyle w:val="ListBullet"/>
        <w:spacing w:before="40" w:after="40"/>
        <w:ind w:left="432"/>
      </w:pPr>
      <w:r>
        <w:rPr>
          <w:rFonts w:ascii="Calibri" w:hAnsi="Calibri"/>
          <w:color w:val="595959"/>
          <w:sz w:val="20"/>
        </w:rPr>
        <w:t>Financial modelling: cost-of-quality approach for error and rework quantification</w:t>
      </w:r>
    </w:p>
    <w:p>
      <w:pPr>
        <w:pStyle w:val="ListBullet"/>
        <w:spacing w:before="40" w:after="40"/>
        <w:ind w:left="432"/>
      </w:pPr>
      <w:r>
        <w:rPr>
          <w:rFonts w:ascii="Calibri" w:hAnsi="Calibri"/>
          <w:color w:val="595959"/>
          <w:sz w:val="20"/>
        </w:rPr>
        <w:t>Benchmark comparison: industry benchmarks for B2B order-to-cash processes (APQC)</w:t>
      </w:r>
    </w:p>
    <w:p>
      <w:pPr>
        <w:pStyle w:val="ListBullet"/>
        <w:spacing w:before="40" w:after="40"/>
        <w:ind w:left="432"/>
      </w:pPr>
      <w:r>
        <w:rPr>
          <w:rFonts w:ascii="Calibri" w:hAnsi="Calibri"/>
          <w:color w:val="595959"/>
          <w:sz w:val="20"/>
        </w:rPr>
        <w:t>ROI calculation: net present value over 3-year horizon; payback period analysis</w:t>
      </w:r>
    </w:p>
    <w:p>
      <w:pPr>
        <w:spacing w:before="80" w:after="80"/>
        <w:pBdr>
          <w:bottom w:val="single" w:sz="6" w:space="1" w:color="2E75B6"/>
        </w:pBdr>
      </w:pPr>
    </w:p>
    <w:p>
      <w:pPr>
        <w:jc w:val="center"/>
      </w:pPr>
      <w:r>
        <w:rPr>
          <w:rFonts w:ascii="Calibri" w:hAnsi="Calibri"/>
          <w:i/>
          <w:color w:val="595959"/>
          <w:sz w:val="17"/>
        </w:rPr>
        <w:t>Order Management Process Optimization  |  FMCG Distribution Case Study  |  Senior Operations Management Consultant  |  March 2025  |  CONFIDENTIAL</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